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C3A" w:rsidRDefault="00C90C3A">
      <w:pPr>
        <w:jc w:val="center"/>
        <w:rPr>
          <w:rFonts w:ascii="Times New Roman" w:hAnsi="Times New Roman" w:cs="Times New Roman"/>
          <w:b/>
          <w:bCs/>
        </w:rPr>
      </w:pPr>
      <w:bookmarkStart w:id="0" w:name="_GoBack"/>
      <w:bookmarkEnd w:id="0"/>
      <w:r>
        <w:rPr>
          <w:rFonts w:ascii="Times New Roman" w:hAnsi="Times New Roman" w:cs="Times New Roman"/>
          <w:b/>
          <w:bCs/>
        </w:rPr>
        <w:t>2025-2026 EĞİTİM ÖĞRETİM YILI</w:t>
      </w:r>
    </w:p>
    <w:p w:rsidR="0005536D" w:rsidRDefault="00C17950">
      <w:pPr>
        <w:jc w:val="center"/>
        <w:rPr>
          <w:rFonts w:ascii="Times New Roman" w:hAnsi="Times New Roman" w:cs="Times New Roman"/>
        </w:rPr>
      </w:pPr>
      <w:r>
        <w:rPr>
          <w:rFonts w:ascii="Times New Roman" w:hAnsi="Times New Roman" w:cs="Times New Roman"/>
          <w:b/>
          <w:bCs/>
        </w:rPr>
        <w:t xml:space="preserve">..................................... </w:t>
      </w:r>
      <w:r w:rsidR="00C90C3A">
        <w:rPr>
          <w:rFonts w:ascii="Times New Roman" w:hAnsi="Times New Roman" w:cs="Times New Roman"/>
          <w:b/>
          <w:bCs/>
        </w:rPr>
        <w:t xml:space="preserve"> İLKOKULU</w:t>
      </w:r>
      <w:r w:rsidR="00C90C3A">
        <w:rPr>
          <w:rFonts w:ascii="Times New Roman" w:hAnsi="Times New Roman" w:cs="Times New Roman"/>
          <w:b/>
          <w:bCs/>
        </w:rPr>
        <w:br/>
        <w:t xml:space="preserve"> 1. SINIF MATEMATİK </w:t>
      </w:r>
      <w:r>
        <w:rPr>
          <w:rFonts w:ascii="Times New Roman" w:hAnsi="Times New Roman" w:cs="Times New Roman"/>
          <w:b/>
          <w:bCs/>
        </w:rPr>
        <w:t>DERSİ GÜNLÜK PLANI</w:t>
      </w:r>
      <w:r>
        <w:rPr>
          <w:rFonts w:ascii="Times New Roman" w:hAnsi="Times New Roman" w:cs="Times New Roman"/>
          <w:b/>
          <w:bCs/>
        </w:rPr>
        <w:br/>
        <w:t xml:space="preserve"> 24. HAFTA (09 - 13 Mart)</w:t>
      </w:r>
    </w:p>
    <w:p w:rsidR="0005536D" w:rsidRDefault="0005536D">
      <w:pPr>
        <w:rPr>
          <w:rFonts w:ascii="Times New Roman" w:hAnsi="Times New Roman" w:cs="Times New Roman"/>
        </w:rPr>
      </w:pPr>
    </w:p>
    <w:p w:rsidR="0005536D" w:rsidRDefault="0005536D">
      <w:pPr>
        <w:rPr>
          <w:rFonts w:ascii="Times New Roman" w:hAnsi="Times New Roman" w:cs="Times New Roman"/>
        </w:rPr>
      </w:pPr>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2390"/>
        <w:gridCol w:w="3412"/>
        <w:gridCol w:w="1150"/>
        <w:gridCol w:w="3333"/>
      </w:tblGrid>
      <w:tr w:rsidR="0005536D">
        <w:tc>
          <w:tcPr>
            <w:tcW w:w="0" w:type="dxa"/>
            <w:gridSpan w:val="4"/>
            <w:shd w:val="clear" w:color="auto" w:fill="BAD090"/>
          </w:tcPr>
          <w:p w:rsidR="0005536D" w:rsidRDefault="00C17950">
            <w:pPr>
              <w:rPr>
                <w:rFonts w:ascii="Times New Roman" w:hAnsi="Times New Roman" w:cs="Times New Roman"/>
              </w:rPr>
            </w:pPr>
            <w:r>
              <w:rPr>
                <w:rFonts w:ascii="Times New Roman" w:hAnsi="Times New Roman" w:cs="Times New Roman"/>
                <w:b/>
                <w:bCs/>
                <w:sz w:val="18"/>
                <w:szCs w:val="18"/>
              </w:rPr>
              <w:t xml:space="preserve">DERS BİLGİSİ </w:t>
            </w:r>
          </w:p>
        </w:tc>
      </w:tr>
      <w:tr w:rsidR="0005536D">
        <w:tc>
          <w:tcPr>
            <w:tcW w:w="1575"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Sınıf</w:t>
            </w:r>
          </w:p>
        </w:tc>
        <w:tc>
          <w:tcPr>
            <w:tcW w:w="4725" w:type="dxa"/>
            <w:vAlign w:val="center"/>
          </w:tcPr>
          <w:p w:rsidR="0005536D" w:rsidRDefault="00C17950">
            <w:pPr>
              <w:rPr>
                <w:rFonts w:ascii="Times New Roman" w:hAnsi="Times New Roman" w:cs="Times New Roman"/>
              </w:rPr>
            </w:pPr>
            <w:r>
              <w:rPr>
                <w:rFonts w:ascii="Times New Roman" w:hAnsi="Times New Roman" w:cs="Times New Roman"/>
                <w:sz w:val="16"/>
                <w:szCs w:val="16"/>
              </w:rPr>
              <w:t>1. SINIF</w:t>
            </w:r>
          </w:p>
        </w:tc>
        <w:tc>
          <w:tcPr>
            <w:tcW w:w="1575"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Ders</w:t>
            </w:r>
          </w:p>
        </w:tc>
        <w:tc>
          <w:tcPr>
            <w:tcW w:w="4725" w:type="dxa"/>
            <w:vAlign w:val="center"/>
          </w:tcPr>
          <w:p w:rsidR="0005536D" w:rsidRDefault="00C17950">
            <w:pPr>
              <w:rPr>
                <w:rFonts w:ascii="Times New Roman" w:hAnsi="Times New Roman" w:cs="Times New Roman"/>
              </w:rPr>
            </w:pPr>
            <w:r>
              <w:rPr>
                <w:rFonts w:ascii="Times New Roman" w:hAnsi="Times New Roman" w:cs="Times New Roman"/>
                <w:sz w:val="16"/>
                <w:szCs w:val="16"/>
              </w:rPr>
              <w:t>MATEMATİK</w:t>
            </w:r>
          </w:p>
        </w:tc>
      </w:tr>
      <w:tr w:rsidR="0005536D">
        <w:tc>
          <w:tcPr>
            <w:tcW w:w="1575"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Tema</w:t>
            </w:r>
          </w:p>
        </w:tc>
        <w:tc>
          <w:tcPr>
            <w:tcW w:w="4725"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MAT.1.2. İŞLEMLERDEN CEBİRSEL DÜŞÜNMEYE</w:t>
            </w:r>
          </w:p>
        </w:tc>
        <w:tc>
          <w:tcPr>
            <w:tcW w:w="1575"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Süre</w:t>
            </w:r>
          </w:p>
        </w:tc>
        <w:tc>
          <w:tcPr>
            <w:tcW w:w="4725"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5 Ders Saati</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Alan Becerileri</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 xml:space="preserve">MAB1. </w:t>
            </w:r>
            <w:r>
              <w:rPr>
                <w:rFonts w:ascii="Times New Roman" w:hAnsi="Times New Roman" w:cs="Times New Roman"/>
                <w:sz w:val="16"/>
                <w:szCs w:val="16"/>
              </w:rPr>
              <w:t>Matematiksel Muhakeme</w:t>
            </w:r>
            <w:r>
              <w:rPr>
                <w:rFonts w:ascii="Times New Roman" w:hAnsi="Times New Roman" w:cs="Times New Roman"/>
                <w:sz w:val="16"/>
                <w:szCs w:val="16"/>
              </w:rPr>
              <w:br/>
              <w:t>KB2.4. Çözümleme</w:t>
            </w:r>
            <w:r>
              <w:rPr>
                <w:rFonts w:ascii="Times New Roman" w:hAnsi="Times New Roman" w:cs="Times New Roman"/>
                <w:sz w:val="16"/>
                <w:szCs w:val="16"/>
              </w:rPr>
              <w:br/>
              <w:t>KB2.14. Yorumlama</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Kavramsal Beceriler</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KB2.4. Çözümleme, KB2.14. Yorumlama</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Eğilimler</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E1.1. Merak, E2.5. Oyun</w:t>
            </w:r>
            <w:r w:rsidR="00C90C3A">
              <w:rPr>
                <w:rFonts w:ascii="Times New Roman" w:hAnsi="Times New Roman" w:cs="Times New Roman"/>
                <w:sz w:val="16"/>
                <w:szCs w:val="16"/>
              </w:rPr>
              <w:t xml:space="preserve"> </w:t>
            </w:r>
            <w:r>
              <w:rPr>
                <w:rFonts w:ascii="Times New Roman" w:hAnsi="Times New Roman" w:cs="Times New Roman"/>
                <w:sz w:val="16"/>
                <w:szCs w:val="16"/>
              </w:rPr>
              <w:t>severlik, E3.2. Odaklanma, E3.3. Yaratıcılık, E3.6. Analitik Düşünme</w:t>
            </w:r>
          </w:p>
        </w:tc>
      </w:tr>
      <w:tr w:rsidR="0005536D">
        <w:tc>
          <w:tcPr>
            <w:tcW w:w="0" w:type="dxa"/>
            <w:gridSpan w:val="4"/>
            <w:shd w:val="clear" w:color="auto" w:fill="BAD090"/>
          </w:tcPr>
          <w:p w:rsidR="0005536D" w:rsidRDefault="00C17950">
            <w:pPr>
              <w:rPr>
                <w:rFonts w:ascii="Times New Roman" w:hAnsi="Times New Roman" w:cs="Times New Roman"/>
              </w:rPr>
            </w:pPr>
            <w:r>
              <w:rPr>
                <w:rFonts w:ascii="Times New Roman" w:hAnsi="Times New Roman" w:cs="Times New Roman"/>
                <w:b/>
                <w:bCs/>
                <w:sz w:val="18"/>
                <w:szCs w:val="18"/>
              </w:rPr>
              <w:t xml:space="preserve">PROGRAMLAR ARASI BİLEŞENLER </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Sosyal-Duygusal Öğr. Bec.</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SDB1.2. Kendini Düzenleme (Öz Düzenleme Becerisi), SDB2.1. İletişim, SDB2.2. İş Birliği, SDB3.2. Esneklik, SDB3.3. Sorumlu Karar Verme</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Değerler</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D4. Dostluk</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Okuryazarlık Becerileri</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OB1. Bilgi Okuryazarlığı</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 xml:space="preserve">Disiplinler Arası </w:t>
            </w:r>
            <w:r>
              <w:rPr>
                <w:rFonts w:ascii="Times New Roman" w:hAnsi="Times New Roman" w:cs="Times New Roman"/>
                <w:b/>
                <w:bCs/>
                <w:sz w:val="16"/>
                <w:szCs w:val="16"/>
              </w:rPr>
              <w:t>İlişki</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Beden Eğitimi ve Oyun</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Öğrenme Çıktıları ve Süreç Bileşenleri</w:t>
            </w:r>
          </w:p>
        </w:tc>
        <w:tc>
          <w:tcPr>
            <w:tcW w:w="9450" w:type="dxa"/>
            <w:gridSpan w:val="3"/>
            <w:vAlign w:val="center"/>
          </w:tcPr>
          <w:p w:rsidR="0005536D" w:rsidRDefault="00C17950">
            <w:pPr>
              <w:rPr>
                <w:rFonts w:ascii="Times New Roman" w:hAnsi="Times New Roman" w:cs="Times New Roman"/>
                <w:b/>
                <w:bCs/>
                <w:i/>
                <w:iCs/>
              </w:rPr>
            </w:pPr>
            <w:r>
              <w:rPr>
                <w:rFonts w:ascii="Times New Roman" w:hAnsi="Times New Roman" w:cs="Times New Roman"/>
                <w:b/>
                <w:bCs/>
                <w:i/>
                <w:iCs/>
                <w:sz w:val="16"/>
                <w:szCs w:val="16"/>
              </w:rPr>
              <w:t xml:space="preserve">MAT.1.2.2. Toplama ve çıkarma işlemlerinin sonuçlarını tahminde bulunarak ve zihinden işlem yaparak muhakeme edebilme (3 Saat) </w:t>
            </w:r>
          </w:p>
          <w:p w:rsidR="0005536D" w:rsidRDefault="00C17950">
            <w:pPr>
              <w:rPr>
                <w:rFonts w:ascii="Times New Roman" w:hAnsi="Times New Roman" w:cs="Times New Roman"/>
                <w:i/>
                <w:iCs/>
                <w:sz w:val="16"/>
                <w:szCs w:val="16"/>
              </w:rPr>
            </w:pPr>
            <w:r>
              <w:rPr>
                <w:rFonts w:ascii="Times New Roman" w:hAnsi="Times New Roman" w:cs="Times New Roman"/>
                <w:i/>
                <w:iCs/>
                <w:sz w:val="16"/>
                <w:szCs w:val="16"/>
              </w:rPr>
              <w:t>a) Toplama ve çıkarma işlemlerine ilişkin ögeleri belirler.</w:t>
            </w:r>
            <w:r>
              <w:rPr>
                <w:rFonts w:ascii="Times New Roman" w:hAnsi="Times New Roman" w:cs="Times New Roman"/>
                <w:i/>
                <w:iCs/>
                <w:sz w:val="16"/>
                <w:szCs w:val="16"/>
              </w:rPr>
              <w:br/>
              <w:t>b) Toplama ve çıkarma işlemlerine ilişkin ögeler arasındaki ilişkileri belirler.</w:t>
            </w:r>
            <w:r>
              <w:rPr>
                <w:rFonts w:ascii="Times New Roman" w:hAnsi="Times New Roman" w:cs="Times New Roman"/>
                <w:i/>
                <w:iCs/>
                <w:sz w:val="16"/>
                <w:szCs w:val="16"/>
              </w:rPr>
              <w:br/>
              <w:t>c) Toplama ve çıkarma işlemlerine yönelik tahmin ve zihinden işlem sonuçları arasında ilişki kurar.</w:t>
            </w:r>
            <w:r>
              <w:rPr>
                <w:rFonts w:ascii="Times New Roman" w:hAnsi="Times New Roman" w:cs="Times New Roman"/>
                <w:i/>
                <w:iCs/>
                <w:sz w:val="16"/>
                <w:szCs w:val="16"/>
              </w:rPr>
              <w:br/>
              <w:t>ç) Tahmin ve zihinden işlem sonuçlarının tutarlılığını ifade eder.</w:t>
            </w:r>
          </w:p>
          <w:p w:rsidR="0005536D" w:rsidRDefault="00C17950">
            <w:pPr>
              <w:rPr>
                <w:rFonts w:ascii="Times New Roman" w:hAnsi="Times New Roman" w:cs="Times New Roman"/>
                <w:b/>
                <w:bCs/>
                <w:i/>
                <w:iCs/>
              </w:rPr>
            </w:pPr>
            <w:r>
              <w:rPr>
                <w:rFonts w:ascii="Times New Roman" w:hAnsi="Times New Roman" w:cs="Times New Roman"/>
                <w:i/>
                <w:iCs/>
                <w:sz w:val="16"/>
                <w:szCs w:val="16"/>
              </w:rPr>
              <w:br/>
            </w:r>
            <w:r>
              <w:rPr>
                <w:rFonts w:ascii="Times New Roman" w:hAnsi="Times New Roman" w:cs="Times New Roman"/>
                <w:b/>
                <w:bCs/>
                <w:i/>
                <w:iCs/>
                <w:sz w:val="16"/>
                <w:szCs w:val="16"/>
              </w:rPr>
              <w:t>MAT.1.</w:t>
            </w:r>
            <w:r>
              <w:rPr>
                <w:rFonts w:ascii="Times New Roman" w:hAnsi="Times New Roman" w:cs="Times New Roman"/>
                <w:b/>
                <w:bCs/>
                <w:i/>
                <w:iCs/>
                <w:sz w:val="16"/>
                <w:szCs w:val="16"/>
              </w:rPr>
              <w:t>2.3. Eşit işaretinin anlamını toplama ve çıkarma işlemi bağlamında yorumlayabilme (2 Saat)</w:t>
            </w:r>
          </w:p>
          <w:p w:rsidR="0005536D" w:rsidRDefault="00C17950">
            <w:pPr>
              <w:rPr>
                <w:rFonts w:ascii="Times New Roman" w:hAnsi="Times New Roman" w:cs="Times New Roman"/>
              </w:rPr>
            </w:pPr>
            <w:r>
              <w:rPr>
                <w:rFonts w:ascii="Times New Roman" w:hAnsi="Times New Roman" w:cs="Times New Roman"/>
                <w:i/>
                <w:iCs/>
                <w:sz w:val="16"/>
                <w:szCs w:val="16"/>
              </w:rPr>
              <w:t>a) Toplama ve çıkarma işlemlerinde eşit işaretinin kullanımını inceler.</w:t>
            </w:r>
            <w:r>
              <w:rPr>
                <w:rFonts w:ascii="Times New Roman" w:hAnsi="Times New Roman" w:cs="Times New Roman"/>
                <w:i/>
                <w:iCs/>
                <w:sz w:val="16"/>
                <w:szCs w:val="16"/>
              </w:rPr>
              <w:br/>
              <w:t>b) Eşit işaretinin anlamını kullanarak bir toplama ya da çıkarma işlemini dönüştürür.</w:t>
            </w:r>
            <w:r>
              <w:rPr>
                <w:rFonts w:ascii="Times New Roman" w:hAnsi="Times New Roman" w:cs="Times New Roman"/>
                <w:i/>
                <w:iCs/>
                <w:sz w:val="16"/>
                <w:szCs w:val="16"/>
              </w:rPr>
              <w:br/>
              <w:t>c) Dönü</w:t>
            </w:r>
            <w:r>
              <w:rPr>
                <w:rFonts w:ascii="Times New Roman" w:hAnsi="Times New Roman" w:cs="Times New Roman"/>
                <w:i/>
                <w:iCs/>
                <w:sz w:val="16"/>
                <w:szCs w:val="16"/>
              </w:rPr>
              <w:t>ştürdüğü toplama ve çıkarma işlemlerini kendi cümleleriyle ifade eder.</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İçerik Çerçevesi</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b/>
                <w:bCs/>
                <w:sz w:val="16"/>
                <w:szCs w:val="16"/>
              </w:rPr>
              <w:t>Toplama ve Çıkarma</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Öğrenme Kanıtları</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Gözlem formu</w:t>
            </w:r>
            <w:r>
              <w:rPr>
                <w:rFonts w:ascii="Times New Roman" w:hAnsi="Times New Roman" w:cs="Times New Roman"/>
                <w:sz w:val="16"/>
                <w:szCs w:val="16"/>
              </w:rPr>
              <w:br/>
              <w:t>Açık uçlu sorular</w:t>
            </w:r>
            <w:r>
              <w:rPr>
                <w:rFonts w:ascii="Times New Roman" w:hAnsi="Times New Roman" w:cs="Times New Roman"/>
                <w:sz w:val="16"/>
                <w:szCs w:val="16"/>
              </w:rPr>
              <w:br/>
              <w:t>Boşluk doldurma</w:t>
            </w:r>
            <w:r>
              <w:rPr>
                <w:rFonts w:ascii="Times New Roman" w:hAnsi="Times New Roman" w:cs="Times New Roman"/>
                <w:sz w:val="16"/>
                <w:szCs w:val="16"/>
              </w:rPr>
              <w:br/>
              <w:t>Eşleştirme soruları</w:t>
            </w:r>
            <w:r>
              <w:rPr>
                <w:rFonts w:ascii="Times New Roman" w:hAnsi="Times New Roman" w:cs="Times New Roman"/>
                <w:sz w:val="16"/>
                <w:szCs w:val="16"/>
              </w:rPr>
              <w:br/>
              <w:t>Çalışma kâğıtları</w:t>
            </w:r>
            <w:r>
              <w:rPr>
                <w:rFonts w:ascii="Times New Roman" w:hAnsi="Times New Roman" w:cs="Times New Roman"/>
                <w:sz w:val="16"/>
                <w:szCs w:val="16"/>
              </w:rPr>
              <w:br/>
              <w:t>Kontrol listesi</w:t>
            </w:r>
          </w:p>
        </w:tc>
      </w:tr>
      <w:tr w:rsidR="0005536D">
        <w:tc>
          <w:tcPr>
            <w:tcW w:w="0" w:type="dxa"/>
            <w:gridSpan w:val="4"/>
            <w:shd w:val="clear" w:color="auto" w:fill="BAD090"/>
          </w:tcPr>
          <w:p w:rsidR="0005536D" w:rsidRDefault="00C17950">
            <w:pPr>
              <w:rPr>
                <w:rFonts w:ascii="Times New Roman" w:hAnsi="Times New Roman" w:cs="Times New Roman"/>
              </w:rPr>
            </w:pPr>
            <w:r>
              <w:rPr>
                <w:rFonts w:ascii="Times New Roman" w:hAnsi="Times New Roman" w:cs="Times New Roman"/>
                <w:b/>
                <w:bCs/>
                <w:sz w:val="18"/>
                <w:szCs w:val="18"/>
              </w:rPr>
              <w:t xml:space="preserve">ÖĞRENME-ÖĞRETME YAŞANTILARI </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Temel Kabuller</w:t>
            </w:r>
          </w:p>
        </w:tc>
        <w:tc>
          <w:tcPr>
            <w:tcW w:w="9450" w:type="dxa"/>
            <w:gridSpan w:val="3"/>
            <w:vAlign w:val="center"/>
          </w:tcPr>
          <w:p w:rsidR="0005536D" w:rsidRDefault="00C90C3A">
            <w:pPr>
              <w:rPr>
                <w:rFonts w:ascii="Times New Roman" w:hAnsi="Times New Roman" w:cs="Times New Roman"/>
              </w:rPr>
            </w:pPr>
            <w:r>
              <w:rPr>
                <w:rFonts w:ascii="Times New Roman" w:hAnsi="Times New Roman" w:cs="Times New Roman"/>
                <w:sz w:val="16"/>
                <w:szCs w:val="16"/>
              </w:rPr>
              <w:t xml:space="preserve">Öğrencilerin verilen bir </w:t>
            </w:r>
            <w:r w:rsidR="00C17950">
              <w:rPr>
                <w:rFonts w:ascii="Times New Roman" w:hAnsi="Times New Roman" w:cs="Times New Roman"/>
                <w:sz w:val="16"/>
                <w:szCs w:val="16"/>
              </w:rPr>
              <w:t>çokluğun sayısını belirleyebildiği, sayının ifade ettiği büyüklüğü bildiği, sayı korunumunu kazandığı, öğeleri dağınık veya düzenli bir şekilde bulunan en fazla 20’ye kadar olan nesne gr</w:t>
            </w:r>
            <w:r w:rsidR="00C17950">
              <w:rPr>
                <w:rFonts w:ascii="Times New Roman" w:hAnsi="Times New Roman" w:cs="Times New Roman"/>
                <w:sz w:val="16"/>
                <w:szCs w:val="16"/>
              </w:rPr>
              <w:t>ubunu çözümleyebildiği, ayrıca artma ve azalma kavramları hakkında bilgi sahibi olduğu kabul edilmektedir.</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Ön Değerlendirme Süreci</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 Oyunlardan, görsel ögelerden veya somut nesnelerden yararlanılarak öğrencilerden en fazla 20 adet nesnenin sayısını tahmin</w:t>
            </w:r>
            <w:r>
              <w:rPr>
                <w:rFonts w:ascii="Times New Roman" w:hAnsi="Times New Roman" w:cs="Times New Roman"/>
                <w:sz w:val="16"/>
                <w:szCs w:val="16"/>
              </w:rPr>
              <w:t xml:space="preserve"> etmeleri istenir. Ayrıca bu süreçte sayının korunumu ile ilgili ön bilgileri ortaya çıkarmak için farklı sayılarda nesneler verilerek öğrencilerin farklı cevaplar verip vermedikleri belirlenir.</w:t>
            </w:r>
            <w:r>
              <w:rPr>
                <w:rFonts w:ascii="Times New Roman" w:hAnsi="Times New Roman" w:cs="Times New Roman"/>
                <w:sz w:val="16"/>
                <w:szCs w:val="16"/>
              </w:rPr>
              <w:br/>
              <w:t>* Nesnelerle veya öğrencilerle oluşturulan grupların sayıları</w:t>
            </w:r>
            <w:r>
              <w:rPr>
                <w:rFonts w:ascii="Times New Roman" w:hAnsi="Times New Roman" w:cs="Times New Roman"/>
                <w:sz w:val="16"/>
                <w:szCs w:val="16"/>
              </w:rPr>
              <w:t xml:space="preserve"> sorulur. Grupların birleşmesi sonucunda nasıl bir değişimin olduğu, oluşan yeni grubun toplam kaç nesne veya öğrenciden oluştuğu ve iki grup arasındaki sayı farkı bulunur. Bulunan sayı farkına göre öğrenci veya nesnelere ekleme yapılarak gruplardaki öğren</w:t>
            </w:r>
            <w:r>
              <w:rPr>
                <w:rFonts w:ascii="Times New Roman" w:hAnsi="Times New Roman" w:cs="Times New Roman"/>
                <w:sz w:val="16"/>
                <w:szCs w:val="16"/>
              </w:rPr>
              <w:t>ci/nesne sayısının eşitlenebileceğine ilişkin sorular yöneltilir.</w:t>
            </w:r>
            <w:r>
              <w:rPr>
                <w:rFonts w:ascii="Times New Roman" w:hAnsi="Times New Roman" w:cs="Times New Roman"/>
                <w:sz w:val="16"/>
                <w:szCs w:val="16"/>
              </w:rPr>
              <w:br/>
              <w:t>* Ön değerlendirme sürecinde öğrencilerin temel sayı kavramlarını, sıralama becerilerini ve artma ile azalma kavramlarını anlama düzeylerinin ölçülmesi amaçlanır. Bu düzeyde günlük yaşam pro</w:t>
            </w:r>
            <w:r>
              <w:rPr>
                <w:rFonts w:ascii="Times New Roman" w:hAnsi="Times New Roman" w:cs="Times New Roman"/>
                <w:sz w:val="16"/>
                <w:szCs w:val="16"/>
              </w:rPr>
              <w:t>blemleri ve oyun tabanlı etkinlikler kullanılır. Öğrencilerin toplama ve çıkarma işlemleri ile eşitlik kavramına yönelik hazır bulunuşlukları belirlenir.</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Köprü Kurma</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 xml:space="preserve">* Sınıfa getirilen çeşitli nesneler veya görsel araçlar kullanılarak öğrencilere bir </w:t>
            </w:r>
            <w:r>
              <w:rPr>
                <w:rFonts w:ascii="Times New Roman" w:hAnsi="Times New Roman" w:cs="Times New Roman"/>
                <w:sz w:val="16"/>
                <w:szCs w:val="16"/>
              </w:rPr>
              <w:t>araya getirme (artma), birbirinden ayırma (azalma) kavramları somut bir şekilde gösterilir. İleriye ve geriye doğru ritmik sayma etkinlikleri yapılır. Verilen iki nesne grubundaki nesneleri sayabilen, iki grup arasındaki nesneleri azlık çokluk ilişkisi bağ</w:t>
            </w:r>
            <w:r>
              <w:rPr>
                <w:rFonts w:ascii="Times New Roman" w:hAnsi="Times New Roman" w:cs="Times New Roman"/>
                <w:sz w:val="16"/>
                <w:szCs w:val="16"/>
              </w:rPr>
              <w:t xml:space="preserve">lamında yorumlayabilen </w:t>
            </w:r>
            <w:r>
              <w:rPr>
                <w:rFonts w:ascii="Times New Roman" w:hAnsi="Times New Roman" w:cs="Times New Roman"/>
                <w:sz w:val="16"/>
                <w:szCs w:val="16"/>
              </w:rPr>
              <w:lastRenderedPageBreak/>
              <w:t>öğrencilere üzerine sayma gerektiren örnekler veya durumlar ile toplama, içerisinden ayırma gerektiren örnekler veya durumlar ile çıkarma işlemine hazırlık yapılır.</w:t>
            </w:r>
            <w:r>
              <w:rPr>
                <w:rFonts w:ascii="Times New Roman" w:hAnsi="Times New Roman" w:cs="Times New Roman"/>
                <w:sz w:val="16"/>
                <w:szCs w:val="16"/>
              </w:rPr>
              <w:br/>
              <w:t xml:space="preserve">* Eşit öğrenci sayısına sahip iki grup öğrenciden, gruptaki öğrenci </w:t>
            </w:r>
            <w:r>
              <w:rPr>
                <w:rFonts w:ascii="Times New Roman" w:hAnsi="Times New Roman" w:cs="Times New Roman"/>
                <w:sz w:val="16"/>
                <w:szCs w:val="16"/>
              </w:rPr>
              <w:t>sayısını belirlemeleri sağlanır. Devamında her gruba dağıtılan nesnelerin sayısı ile öğrenci sayısını karşılaştırmaları ve eşleştirmeleri istenir. Tahtaya yazılacak bir sayıyı grup içinde temsil ederek farklı sayılarla çokluklar oluşturmaları istenir. Oluş</w:t>
            </w:r>
            <w:r>
              <w:rPr>
                <w:rFonts w:ascii="Times New Roman" w:hAnsi="Times New Roman" w:cs="Times New Roman"/>
                <w:sz w:val="16"/>
                <w:szCs w:val="16"/>
              </w:rPr>
              <w:t>turulan sayılarla eksiltme ve artırma gerektiren örnekler verilir. Bu şekilde toplama ve çıkarma işlemleri üzerinde durularak artma ve azalma kavramlarına hazırlık yapılır.</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lastRenderedPageBreak/>
              <w:t>Öğretme Uygulamaları</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 Toplama işleminde eşitlik kavramına dikkat çekmek için taht</w:t>
            </w:r>
            <w:r>
              <w:rPr>
                <w:rFonts w:ascii="Times New Roman" w:hAnsi="Times New Roman" w:cs="Times New Roman"/>
                <w:sz w:val="16"/>
                <w:szCs w:val="16"/>
              </w:rPr>
              <w:t>erevalli, eşit kollu terazi gibi denge durumunu gösterebilecek görsellerle veya öğrencilerin kollarını iki yana açmalarıyla denge durumunu ifade edecek etkinlikler yapılır.</w:t>
            </w:r>
            <w:r>
              <w:rPr>
                <w:rFonts w:ascii="Times New Roman" w:hAnsi="Times New Roman" w:cs="Times New Roman"/>
                <w:sz w:val="16"/>
                <w:szCs w:val="16"/>
              </w:rPr>
              <w:br/>
              <w:t>* Toplama ve çıkarma işlemlerini içeren günlük yaşam durumlarına yönelik eş nesnele</w:t>
            </w:r>
            <w:r>
              <w:rPr>
                <w:rFonts w:ascii="Times New Roman" w:hAnsi="Times New Roman" w:cs="Times New Roman"/>
                <w:sz w:val="16"/>
                <w:szCs w:val="16"/>
              </w:rPr>
              <w:t>r ile kütlelerinin birbirine eşit olduğu durumlar değerlendirilir (Kütle kavramına değinilmez.).</w:t>
            </w:r>
            <w:r>
              <w:rPr>
                <w:rFonts w:ascii="Times New Roman" w:hAnsi="Times New Roman" w:cs="Times New Roman"/>
                <w:sz w:val="16"/>
                <w:szCs w:val="16"/>
              </w:rPr>
              <w:br/>
              <w:t>* İki tarafa da aynı nesneden farklı sayılarda eklenerek kaç nesne daha eklendiğinde ya da çıkarıldığında dengenin oluşacağı sorulur.</w:t>
            </w:r>
            <w:r>
              <w:rPr>
                <w:rFonts w:ascii="Times New Roman" w:hAnsi="Times New Roman" w:cs="Times New Roman"/>
                <w:sz w:val="16"/>
                <w:szCs w:val="16"/>
              </w:rPr>
              <w:br/>
              <w:t>* Nesnelerin bir araya ge</w:t>
            </w:r>
            <w:r>
              <w:rPr>
                <w:rFonts w:ascii="Times New Roman" w:hAnsi="Times New Roman" w:cs="Times New Roman"/>
                <w:sz w:val="16"/>
                <w:szCs w:val="16"/>
              </w:rPr>
              <w:t>tirilmesini temsil eden toplama işlemi ile bütünden bir parçanın çıkarılması anlamını içeren çıkarma işleminin yapıldığı etkinliklerde eşit işaretinin, eşitliğin her iki tarafında da eşit sayıda nesne olduğunu gösterdiği uygulamalarla inceletilir (OB1).</w:t>
            </w:r>
            <w:r>
              <w:rPr>
                <w:rFonts w:ascii="Times New Roman" w:hAnsi="Times New Roman" w:cs="Times New Roman"/>
                <w:sz w:val="16"/>
                <w:szCs w:val="16"/>
              </w:rPr>
              <w:br/>
              <w:t xml:space="preserve">* </w:t>
            </w:r>
            <w:r>
              <w:rPr>
                <w:rFonts w:ascii="Times New Roman" w:hAnsi="Times New Roman" w:cs="Times New Roman"/>
                <w:sz w:val="16"/>
                <w:szCs w:val="16"/>
              </w:rPr>
              <w:t>Satranç oyunundaki rakiplerin taş sayılarındaki artış, azalış ve eşitlik durumu dikkate alınarak toplama ve çıkarma işlemi arasındaki ilişkinin anlaşılması sağlanır.</w:t>
            </w:r>
            <w:r>
              <w:rPr>
                <w:rFonts w:ascii="Times New Roman" w:hAnsi="Times New Roman" w:cs="Times New Roman"/>
                <w:sz w:val="16"/>
                <w:szCs w:val="16"/>
              </w:rPr>
              <w:br/>
              <w:t xml:space="preserve">* Toplama ve çıkarma işlemleri arasındaki ilişki dikkate alınarak eşleştirme sorularından </w:t>
            </w:r>
            <w:r>
              <w:rPr>
                <w:rFonts w:ascii="Times New Roman" w:hAnsi="Times New Roman" w:cs="Times New Roman"/>
                <w:sz w:val="16"/>
                <w:szCs w:val="16"/>
              </w:rPr>
              <w:t>ve boşluk doldurma sorularından oluşan çalışma kâğıtlarından yararlanılabilir.</w:t>
            </w:r>
            <w:r>
              <w:rPr>
                <w:rFonts w:ascii="Times New Roman" w:hAnsi="Times New Roman" w:cs="Times New Roman"/>
                <w:sz w:val="16"/>
                <w:szCs w:val="16"/>
              </w:rPr>
              <w:br/>
              <w:t>* Eşit işaretinin her zaman işlem sonucu anlamı taşımadığı, eşitliğin iki tarafındaki matematiksel ifadelerin eşitliğini gösterdiği vurgulanır.</w:t>
            </w:r>
            <w:r>
              <w:rPr>
                <w:rFonts w:ascii="Times New Roman" w:hAnsi="Times New Roman" w:cs="Times New Roman"/>
                <w:sz w:val="16"/>
                <w:szCs w:val="16"/>
              </w:rPr>
              <w:br/>
              <w:t>* Öğrencilere günlük yaşantıların</w:t>
            </w:r>
            <w:r>
              <w:rPr>
                <w:rFonts w:ascii="Times New Roman" w:hAnsi="Times New Roman" w:cs="Times New Roman"/>
                <w:sz w:val="16"/>
                <w:szCs w:val="16"/>
              </w:rPr>
              <w:t>da karşılaştıkları toplama ve çıkarma işlemleri içeren örnek olay yazmaları, eşitlik kavramı için eşit kollu terazi modeli tasarlamaları ile ilgili performans görevi verilebilir (SDB1.2).</w:t>
            </w:r>
            <w:r>
              <w:rPr>
                <w:rFonts w:ascii="Times New Roman" w:hAnsi="Times New Roman" w:cs="Times New Roman"/>
                <w:sz w:val="16"/>
                <w:szCs w:val="16"/>
              </w:rPr>
              <w:br/>
              <w:t>* Performans görevleri analitik dereceli puanlama anahtarı ile değer</w:t>
            </w:r>
            <w:r>
              <w:rPr>
                <w:rFonts w:ascii="Times New Roman" w:hAnsi="Times New Roman" w:cs="Times New Roman"/>
                <w:sz w:val="16"/>
                <w:szCs w:val="16"/>
              </w:rPr>
              <w:t>lendirilebilir.</w:t>
            </w:r>
          </w:p>
        </w:tc>
      </w:tr>
      <w:tr w:rsidR="0005536D">
        <w:tc>
          <w:tcPr>
            <w:tcW w:w="0" w:type="dxa"/>
            <w:gridSpan w:val="4"/>
            <w:shd w:val="clear" w:color="auto" w:fill="BAD090"/>
          </w:tcPr>
          <w:p w:rsidR="0005536D" w:rsidRDefault="00C17950">
            <w:pPr>
              <w:rPr>
                <w:rFonts w:ascii="Times New Roman" w:hAnsi="Times New Roman" w:cs="Times New Roman"/>
              </w:rPr>
            </w:pPr>
            <w:r>
              <w:rPr>
                <w:rFonts w:ascii="Times New Roman" w:hAnsi="Times New Roman" w:cs="Times New Roman"/>
                <w:b/>
                <w:bCs/>
                <w:sz w:val="18"/>
                <w:szCs w:val="18"/>
              </w:rPr>
              <w:t xml:space="preserve">FARKLILAŞTIRMA </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Zenginleştirme</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 Öğrencilere farklı matematiksel ifadeler verilip sonucu aynı olanların tahmin edilerek gruplandırılmaları istenir.</w:t>
            </w:r>
            <w:r>
              <w:rPr>
                <w:rFonts w:ascii="Times New Roman" w:hAnsi="Times New Roman" w:cs="Times New Roman"/>
                <w:sz w:val="16"/>
                <w:szCs w:val="16"/>
              </w:rPr>
              <w:br/>
              <w:t>* Öğrenci seviyesine uygun, toplama ve çıkarma işlemlerini gerektiren çeşitli eğitsel oyun</w:t>
            </w:r>
            <w:r>
              <w:rPr>
                <w:rFonts w:ascii="Times New Roman" w:hAnsi="Times New Roman" w:cs="Times New Roman"/>
                <w:sz w:val="16"/>
                <w:szCs w:val="16"/>
              </w:rPr>
              <w:t>lar (toplama yarışı, toplama görevi, toplama-çıkarma kart oyunları, bende/kimde gibi) oynatılarak öğrenme süreci zenginleştirilir.</w:t>
            </w:r>
            <w:r>
              <w:rPr>
                <w:rFonts w:ascii="Times New Roman" w:hAnsi="Times New Roman" w:cs="Times New Roman"/>
                <w:sz w:val="16"/>
                <w:szCs w:val="16"/>
              </w:rPr>
              <w:br/>
              <w:t>* Öğrencilerden konular ile ilgili özgün matematik hikâyeleri tasarlamaları ve arkadaşları ile paylaşmaları istenir. Tahminde</w:t>
            </w:r>
            <w:r>
              <w:rPr>
                <w:rFonts w:ascii="Times New Roman" w:hAnsi="Times New Roman" w:cs="Times New Roman"/>
                <w:sz w:val="16"/>
                <w:szCs w:val="16"/>
              </w:rPr>
              <w:t xml:space="preserve"> bulunma ve zihinden işlem sorularında öğrencilere daha büyük sayılarla işlem yapma görevleri verilir.</w:t>
            </w:r>
          </w:p>
        </w:tc>
      </w:tr>
      <w:tr w:rsidR="0005536D">
        <w:tc>
          <w:tcPr>
            <w:tcW w:w="3150" w:type="dxa"/>
            <w:vAlign w:val="center"/>
          </w:tcPr>
          <w:p w:rsidR="0005536D" w:rsidRDefault="00C17950">
            <w:pPr>
              <w:rPr>
                <w:rFonts w:ascii="Times New Roman" w:hAnsi="Times New Roman" w:cs="Times New Roman"/>
              </w:rPr>
            </w:pPr>
            <w:r>
              <w:rPr>
                <w:rFonts w:ascii="Times New Roman" w:hAnsi="Times New Roman" w:cs="Times New Roman"/>
                <w:b/>
                <w:bCs/>
                <w:sz w:val="16"/>
                <w:szCs w:val="16"/>
              </w:rPr>
              <w:t>Destekleme</w:t>
            </w:r>
          </w:p>
        </w:tc>
        <w:tc>
          <w:tcPr>
            <w:tcW w:w="9450" w:type="dxa"/>
            <w:gridSpan w:val="3"/>
            <w:vAlign w:val="center"/>
          </w:tcPr>
          <w:p w:rsidR="0005536D" w:rsidRDefault="00C17950">
            <w:pPr>
              <w:rPr>
                <w:rFonts w:ascii="Times New Roman" w:hAnsi="Times New Roman" w:cs="Times New Roman"/>
              </w:rPr>
            </w:pPr>
            <w:r>
              <w:rPr>
                <w:rFonts w:ascii="Times New Roman" w:hAnsi="Times New Roman" w:cs="Times New Roman"/>
                <w:sz w:val="16"/>
                <w:szCs w:val="16"/>
              </w:rPr>
              <w:t xml:space="preserve">* Günlük etkinliklerde işlemlerden cebirsel düşünmeye sevk edecek (toplama ve çıkarma) matematiksel bağlantılar bireysel çalışma ve grup </w:t>
            </w:r>
            <w:r>
              <w:rPr>
                <w:rFonts w:ascii="Times New Roman" w:hAnsi="Times New Roman" w:cs="Times New Roman"/>
                <w:sz w:val="16"/>
                <w:szCs w:val="16"/>
              </w:rPr>
              <w:t>çalışması yapılarak belirlenir. Belirlenen duruma ilişkin öğrenci performansına uygun toplama ve çıkarma işlemi gerektiren günlük yaşam durumları hakkında öğrencilerin kendilerini ifade etmeleri sağlanır.</w:t>
            </w:r>
            <w:r>
              <w:rPr>
                <w:rFonts w:ascii="Times New Roman" w:hAnsi="Times New Roman" w:cs="Times New Roman"/>
                <w:sz w:val="16"/>
                <w:szCs w:val="16"/>
              </w:rPr>
              <w:br/>
              <w:t>* Eğitici matematik oyunları (Toplama-çıkarma işlem</w:t>
            </w:r>
            <w:r>
              <w:rPr>
                <w:rFonts w:ascii="Times New Roman" w:hAnsi="Times New Roman" w:cs="Times New Roman"/>
                <w:sz w:val="16"/>
                <w:szCs w:val="16"/>
              </w:rPr>
              <w:t>leri ile ilgili yapboz, eşleştirme oyunu vb.) kullanılarak öğrencilerin toplama ve çıkarma işlemi ile ilgili durumlara odaklanması sağlanır.</w:t>
            </w:r>
            <w:r>
              <w:rPr>
                <w:rFonts w:ascii="Times New Roman" w:hAnsi="Times New Roman" w:cs="Times New Roman"/>
                <w:sz w:val="16"/>
                <w:szCs w:val="16"/>
              </w:rPr>
              <w:br/>
              <w:t>* Öğretim sürecinde çalışma sayfaları ve çoklu duyuya hitap eden matematiksel araç ve teknolojiler destekleyici ola</w:t>
            </w:r>
            <w:r>
              <w:rPr>
                <w:rFonts w:ascii="Times New Roman" w:hAnsi="Times New Roman" w:cs="Times New Roman"/>
                <w:sz w:val="16"/>
                <w:szCs w:val="16"/>
              </w:rPr>
              <w:t>rak kullanılır. Bu araç ve teknolojiler üzerinde görsel ipuçları ve çeşitli sorularla adım adım rehberlik yapılarak öğrencilerin öğrenme süreçleri desteklenir.</w:t>
            </w:r>
          </w:p>
        </w:tc>
      </w:tr>
    </w:tbl>
    <w:p w:rsidR="0005536D" w:rsidRDefault="0005536D" w:rsidP="00C90C3A">
      <w:pPr>
        <w:rPr>
          <w:rFonts w:ascii="Times New Roman" w:hAnsi="Times New Roman" w:cs="Times New Roman"/>
        </w:rPr>
      </w:pPr>
    </w:p>
    <w:sectPr w:rsidR="0005536D">
      <w:pgSz w:w="11905" w:h="16837"/>
      <w:pgMar w:top="850" w:right="850" w:bottom="150" w:left="85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950" w:rsidRDefault="00C17950">
      <w:pPr>
        <w:spacing w:line="240" w:lineRule="auto"/>
      </w:pPr>
      <w:r>
        <w:separator/>
      </w:r>
    </w:p>
  </w:endnote>
  <w:endnote w:type="continuationSeparator" w:id="0">
    <w:p w:rsidR="00C17950" w:rsidRDefault="00C17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ova">
    <w:altName w:val="SimSun"/>
    <w:charset w:val="86"/>
    <w:family w:val="swiss"/>
    <w:pitch w:val="default"/>
    <w:sig w:usb0="00000000" w:usb1="00000000"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950" w:rsidRDefault="00C17950">
      <w:r>
        <w:separator/>
      </w:r>
    </w:p>
  </w:footnote>
  <w:footnote w:type="continuationSeparator" w:id="0">
    <w:p w:rsidR="00C17950" w:rsidRDefault="00C179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2F6"/>
    <w:rsid w:val="0005536D"/>
    <w:rsid w:val="001552F6"/>
    <w:rsid w:val="00396874"/>
    <w:rsid w:val="009D4577"/>
    <w:rsid w:val="00C17950"/>
    <w:rsid w:val="00C90C3A"/>
    <w:rsid w:val="00D43662"/>
    <w:rsid w:val="462D4070"/>
    <w:rsid w:val="75970EF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64D6"/>
  <w15:docId w15:val="{602A491C-EEB2-486C-8A0C-C76ADE17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ova" w:eastAsia="Arial Nova" w:hAnsi="Arial Nova" w:cs="Arial Nova"/>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qFormat/>
    <w:rPr>
      <w:vertAlign w:val="superscript"/>
    </w:rPr>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1090</Words>
  <Characters>6215</Characters>
  <Application>Microsoft Office Word</Application>
  <DocSecurity>0</DocSecurity>
  <Lines>51</Lines>
  <Paragraphs>14</Paragraphs>
  <ScaleCrop>false</ScaleCrop>
  <Company>ÖğretmenEvrak</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4</cp:revision>
  <dcterms:created xsi:type="dcterms:W3CDTF">2024-09-06T18:30:00Z</dcterms:created>
  <dcterms:modified xsi:type="dcterms:W3CDTF">2026-03-13T10:21:00Z</dcterms:modified>
  <cp:category>Eğitim Uygulamaları; Eğitim Çözümleri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D2D9F1EC6A584DA2A3370DD555D2A41F_13</vt:lpwstr>
  </property>
</Properties>
</file>