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F94AE" w14:textId="77777777" w:rsidR="00120F8F" w:rsidRPr="00925AD9" w:rsidRDefault="00120F8F" w:rsidP="00120F8F">
      <w:pPr>
        <w:jc w:val="center"/>
      </w:pPr>
      <w:r w:rsidRPr="00925AD9">
        <w:rPr>
          <w:b/>
          <w:bCs/>
        </w:rPr>
        <w:t>2025-2026 EĞİTİM-ÖĞRETİM YILI</w:t>
      </w:r>
    </w:p>
    <w:p w14:paraId="17EF7173" w14:textId="2E2ED8D9" w:rsidR="00275B26" w:rsidRPr="00925AD9" w:rsidRDefault="00A24713">
      <w:pPr>
        <w:jc w:val="center"/>
      </w:pPr>
      <w:r>
        <w:rPr>
          <w:b/>
          <w:bCs/>
        </w:rPr>
        <w:t>.................................................</w:t>
      </w:r>
      <w:r w:rsidR="00120F8F" w:rsidRPr="00925AD9">
        <w:rPr>
          <w:b/>
          <w:bCs/>
        </w:rPr>
        <w:t xml:space="preserve"> </w:t>
      </w:r>
      <w:r w:rsidR="00CD19EE" w:rsidRPr="00925AD9">
        <w:rPr>
          <w:b/>
          <w:bCs/>
        </w:rPr>
        <w:t>ORTAOKULU</w:t>
      </w:r>
    </w:p>
    <w:p w14:paraId="4AD3CDA2" w14:textId="483BF029" w:rsidR="00275B26" w:rsidRPr="00925AD9" w:rsidRDefault="00CD19EE" w:rsidP="003B77D4">
      <w:pPr>
        <w:jc w:val="center"/>
        <w:rPr>
          <w:b/>
          <w:bCs/>
        </w:rPr>
      </w:pPr>
      <w:r w:rsidRPr="00925AD9">
        <w:rPr>
          <w:b/>
          <w:bCs/>
        </w:rPr>
        <w:t>GÖRSEL SANATLAR</w:t>
      </w:r>
      <w:r w:rsidR="00242DBB" w:rsidRPr="00925AD9">
        <w:rPr>
          <w:b/>
          <w:bCs/>
        </w:rPr>
        <w:t xml:space="preserve"> </w:t>
      </w:r>
      <w:r w:rsidR="00296BD9" w:rsidRPr="00925AD9">
        <w:rPr>
          <w:b/>
          <w:bCs/>
        </w:rPr>
        <w:t>İKİNCİ DÖNEM BAŞI ZÜMRE TOPLANTI TUTANAĞI</w:t>
      </w:r>
    </w:p>
    <w:p w14:paraId="0C6D8873" w14:textId="77777777" w:rsidR="00275B26" w:rsidRPr="00925AD9" w:rsidRDefault="00275B26"/>
    <w:tbl>
      <w:tblPr>
        <w:tblW w:w="5000" w:type="pct"/>
        <w:tblInd w:w="5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firstRow="0" w:lastRow="0" w:firstColumn="0" w:lastColumn="0" w:noHBand="0" w:noVBand="0"/>
      </w:tblPr>
      <w:tblGrid>
        <w:gridCol w:w="2552"/>
        <w:gridCol w:w="7430"/>
      </w:tblGrid>
      <w:tr w:rsidR="00275B26" w:rsidRPr="00925AD9" w14:paraId="4F09711E" w14:textId="77777777" w:rsidTr="00313F64">
        <w:trPr>
          <w:trHeight w:val="471"/>
        </w:trPr>
        <w:tc>
          <w:tcPr>
            <w:tcW w:w="2552" w:type="dxa"/>
            <w:vAlign w:val="center"/>
          </w:tcPr>
          <w:p w14:paraId="61186005" w14:textId="77777777" w:rsidR="00275B26" w:rsidRPr="00925AD9" w:rsidRDefault="00296BD9" w:rsidP="0085175B">
            <w:r w:rsidRPr="00925AD9">
              <w:t>Toplantı No</w:t>
            </w:r>
          </w:p>
        </w:tc>
        <w:tc>
          <w:tcPr>
            <w:tcW w:w="7430" w:type="dxa"/>
            <w:vAlign w:val="center"/>
          </w:tcPr>
          <w:p w14:paraId="7F287B27" w14:textId="77777777" w:rsidR="00275B26" w:rsidRPr="00925AD9" w:rsidRDefault="00FE05F9" w:rsidP="0085175B">
            <w:r w:rsidRPr="00925AD9">
              <w:rPr>
                <w:bCs/>
              </w:rPr>
              <w:t>2</w:t>
            </w:r>
          </w:p>
        </w:tc>
      </w:tr>
      <w:tr w:rsidR="00275B26" w:rsidRPr="00925AD9" w14:paraId="636FE003" w14:textId="77777777" w:rsidTr="00313F64">
        <w:trPr>
          <w:trHeight w:val="471"/>
        </w:trPr>
        <w:tc>
          <w:tcPr>
            <w:tcW w:w="2552" w:type="dxa"/>
            <w:vAlign w:val="center"/>
          </w:tcPr>
          <w:p w14:paraId="38455FBE" w14:textId="77777777" w:rsidR="00275B26" w:rsidRPr="00925AD9" w:rsidRDefault="00296BD9" w:rsidP="0085175B">
            <w:r w:rsidRPr="00925AD9">
              <w:t>Toplantının Öğretim Yılı</w:t>
            </w:r>
          </w:p>
        </w:tc>
        <w:tc>
          <w:tcPr>
            <w:tcW w:w="7430" w:type="dxa"/>
            <w:vAlign w:val="center"/>
          </w:tcPr>
          <w:p w14:paraId="5876DFAD" w14:textId="664268AD" w:rsidR="00275B26" w:rsidRPr="00925AD9" w:rsidRDefault="000D53BC" w:rsidP="0085175B">
            <w:r w:rsidRPr="00925AD9">
              <w:rPr>
                <w:bCs/>
              </w:rPr>
              <w:t>2025-2026</w:t>
            </w:r>
          </w:p>
        </w:tc>
      </w:tr>
      <w:tr w:rsidR="00275B26" w:rsidRPr="00925AD9" w14:paraId="6FD30876" w14:textId="77777777" w:rsidTr="00313F64">
        <w:trPr>
          <w:trHeight w:val="471"/>
        </w:trPr>
        <w:tc>
          <w:tcPr>
            <w:tcW w:w="2552" w:type="dxa"/>
            <w:vAlign w:val="center"/>
          </w:tcPr>
          <w:p w14:paraId="55F1D012" w14:textId="77777777" w:rsidR="00275B26" w:rsidRPr="00925AD9" w:rsidRDefault="00296BD9" w:rsidP="0085175B">
            <w:r w:rsidRPr="00925AD9">
              <w:t>Toplantının Dönem</w:t>
            </w:r>
          </w:p>
        </w:tc>
        <w:tc>
          <w:tcPr>
            <w:tcW w:w="7430" w:type="dxa"/>
            <w:vAlign w:val="center"/>
          </w:tcPr>
          <w:p w14:paraId="38C81B7B" w14:textId="77777777" w:rsidR="00275B26" w:rsidRPr="00925AD9" w:rsidRDefault="00296BD9" w:rsidP="0085175B">
            <w:r w:rsidRPr="00925AD9">
              <w:rPr>
                <w:bCs/>
              </w:rPr>
              <w:t>2. Dönem</w:t>
            </w:r>
          </w:p>
        </w:tc>
      </w:tr>
      <w:tr w:rsidR="00275B26" w:rsidRPr="00925AD9" w14:paraId="04374856" w14:textId="77777777" w:rsidTr="00313F64">
        <w:trPr>
          <w:trHeight w:val="471"/>
        </w:trPr>
        <w:tc>
          <w:tcPr>
            <w:tcW w:w="2552" w:type="dxa"/>
            <w:vAlign w:val="center"/>
          </w:tcPr>
          <w:p w14:paraId="0DF87B59" w14:textId="77777777" w:rsidR="00275B26" w:rsidRPr="00925AD9" w:rsidRDefault="00296BD9" w:rsidP="0085175B">
            <w:r w:rsidRPr="00925AD9">
              <w:t>Toplantının Tarihi ve yeri</w:t>
            </w:r>
          </w:p>
        </w:tc>
        <w:tc>
          <w:tcPr>
            <w:tcW w:w="7430" w:type="dxa"/>
            <w:vAlign w:val="center"/>
          </w:tcPr>
          <w:p w14:paraId="10A0CF24" w14:textId="3AB118E5" w:rsidR="00275B26" w:rsidRPr="00925AD9" w:rsidRDefault="00A24713" w:rsidP="00A24713">
            <w:r>
              <w:rPr>
                <w:bCs/>
              </w:rPr>
              <w:t>…/</w:t>
            </w:r>
            <w:r w:rsidR="00296BD9" w:rsidRPr="00925AD9">
              <w:rPr>
                <w:bCs/>
              </w:rPr>
              <w:t>02</w:t>
            </w:r>
            <w:r>
              <w:rPr>
                <w:bCs/>
              </w:rPr>
              <w:t>/</w:t>
            </w:r>
            <w:r w:rsidR="00296BD9" w:rsidRPr="00925AD9">
              <w:rPr>
                <w:bCs/>
              </w:rPr>
              <w:t>202</w:t>
            </w:r>
            <w:r w:rsidR="000D53BC" w:rsidRPr="00925AD9">
              <w:rPr>
                <w:bCs/>
              </w:rPr>
              <w:t>6</w:t>
            </w:r>
            <w:r w:rsidR="0085175B" w:rsidRPr="00925AD9">
              <w:rPr>
                <w:bCs/>
              </w:rPr>
              <w:t xml:space="preserve">  </w:t>
            </w:r>
            <w:r w:rsidR="00296BD9" w:rsidRPr="00925AD9">
              <w:rPr>
                <w:bCs/>
              </w:rPr>
              <w:t xml:space="preserve">- </w:t>
            </w:r>
            <w:r>
              <w:rPr>
                <w:bCs/>
              </w:rPr>
              <w:t>…:…</w:t>
            </w:r>
            <w:r w:rsidR="0085175B" w:rsidRPr="00925AD9">
              <w:rPr>
                <w:bCs/>
              </w:rPr>
              <w:t xml:space="preserve">  </w:t>
            </w:r>
            <w:r w:rsidR="00296BD9" w:rsidRPr="00925AD9">
              <w:rPr>
                <w:bCs/>
              </w:rPr>
              <w:t>- Öğretmenler Odası</w:t>
            </w:r>
          </w:p>
        </w:tc>
      </w:tr>
      <w:tr w:rsidR="00275B26" w:rsidRPr="00925AD9" w14:paraId="7E812CA7" w14:textId="77777777" w:rsidTr="00313F64">
        <w:trPr>
          <w:trHeight w:val="471"/>
        </w:trPr>
        <w:tc>
          <w:tcPr>
            <w:tcW w:w="2552" w:type="dxa"/>
            <w:vAlign w:val="center"/>
          </w:tcPr>
          <w:p w14:paraId="57DEBDD1" w14:textId="77777777" w:rsidR="00275B26" w:rsidRPr="00925AD9" w:rsidRDefault="00296BD9" w:rsidP="0085175B">
            <w:r w:rsidRPr="00925AD9">
              <w:t>Toplantının Başkanı</w:t>
            </w:r>
          </w:p>
        </w:tc>
        <w:tc>
          <w:tcPr>
            <w:tcW w:w="7430" w:type="dxa"/>
            <w:vAlign w:val="center"/>
          </w:tcPr>
          <w:p w14:paraId="1724EC12" w14:textId="07075755" w:rsidR="00275B26" w:rsidRPr="00925AD9" w:rsidRDefault="00925AD9" w:rsidP="0085175B">
            <w:r w:rsidRPr="00925AD9">
              <w:rPr>
                <w:bCs/>
              </w:rPr>
              <w:t xml:space="preserve">Mrd. Yrd. </w:t>
            </w:r>
            <w:r w:rsidR="00A24713">
              <w:rPr>
                <w:bCs/>
              </w:rPr>
              <w:t>......................</w:t>
            </w:r>
          </w:p>
        </w:tc>
      </w:tr>
      <w:tr w:rsidR="00275B26" w:rsidRPr="00925AD9" w14:paraId="3EE68279" w14:textId="77777777" w:rsidTr="00313F64">
        <w:trPr>
          <w:trHeight w:val="471"/>
        </w:trPr>
        <w:tc>
          <w:tcPr>
            <w:tcW w:w="2552" w:type="dxa"/>
            <w:vAlign w:val="center"/>
          </w:tcPr>
          <w:p w14:paraId="3C9AF2C3" w14:textId="77777777" w:rsidR="00275B26" w:rsidRPr="00925AD9" w:rsidRDefault="00296BD9" w:rsidP="0085175B">
            <w:r w:rsidRPr="00925AD9">
              <w:t>Toplantıya Katılanlar</w:t>
            </w:r>
          </w:p>
        </w:tc>
        <w:tc>
          <w:tcPr>
            <w:tcW w:w="7430" w:type="dxa"/>
            <w:vAlign w:val="center"/>
          </w:tcPr>
          <w:p w14:paraId="1F5FF27E" w14:textId="48644AF6" w:rsidR="00275B26" w:rsidRPr="00925AD9" w:rsidRDefault="00A24713" w:rsidP="00120F8F">
            <w:r>
              <w:rPr>
                <w:b/>
                <w:bCs/>
              </w:rPr>
              <w:t>..................................</w:t>
            </w:r>
            <w:r w:rsidR="00120F8F" w:rsidRPr="00925AD9">
              <w:rPr>
                <w:b/>
                <w:bCs/>
              </w:rPr>
              <w:t xml:space="preserve"> (</w:t>
            </w:r>
            <w:bookmarkStart w:id="0" w:name="_GoBack"/>
            <w:r w:rsidR="004C4C21">
              <w:rPr>
                <w:b/>
                <w:bCs/>
              </w:rPr>
              <w:t>Ders Öğretmeni</w:t>
            </w:r>
            <w:bookmarkEnd w:id="0"/>
            <w:r w:rsidR="00120F8F" w:rsidRPr="00925AD9">
              <w:rPr>
                <w:b/>
                <w:bCs/>
              </w:rPr>
              <w:t xml:space="preserve">), </w:t>
            </w:r>
            <w:r>
              <w:rPr>
                <w:b/>
                <w:bCs/>
              </w:rPr>
              <w:t>......................</w:t>
            </w:r>
            <w:r w:rsidR="00120F8F" w:rsidRPr="00925AD9">
              <w:rPr>
                <w:b/>
                <w:bCs/>
              </w:rPr>
              <w:t xml:space="preserve"> (Mdr. Yrd.)</w:t>
            </w:r>
          </w:p>
        </w:tc>
      </w:tr>
    </w:tbl>
    <w:p w14:paraId="13A93092" w14:textId="77777777" w:rsidR="0085175B" w:rsidRPr="00925AD9" w:rsidRDefault="0085175B"/>
    <w:p w14:paraId="31B88707" w14:textId="77777777" w:rsidR="005B4C26" w:rsidRPr="00925AD9" w:rsidRDefault="005B4C26" w:rsidP="005B4C26">
      <w:pPr>
        <w:rPr>
          <w:b/>
          <w:bCs/>
        </w:rPr>
      </w:pPr>
      <w:r w:rsidRPr="00925AD9">
        <w:rPr>
          <w:b/>
          <w:bCs/>
        </w:rPr>
        <w:t>GÜNDEM MADDELERİ</w:t>
      </w:r>
    </w:p>
    <w:p w14:paraId="146918AA" w14:textId="3EB1251B" w:rsidR="00894F8E" w:rsidRPr="00925AD9" w:rsidRDefault="00894F8E" w:rsidP="00894F8E">
      <w:pPr>
        <w:numPr>
          <w:ilvl w:val="0"/>
          <w:numId w:val="9"/>
        </w:numPr>
        <w:rPr>
          <w:bCs/>
        </w:rPr>
      </w:pPr>
      <w:r w:rsidRPr="00925AD9">
        <w:rPr>
          <w:bCs/>
        </w:rPr>
        <w:t>Açılış ve yoklama; toplantı usulünün belirlenmesi</w:t>
      </w:r>
      <w:r w:rsidR="00120F8F" w:rsidRPr="00925AD9">
        <w:rPr>
          <w:bCs/>
        </w:rPr>
        <w:t>.</w:t>
      </w:r>
    </w:p>
    <w:p w14:paraId="1EE3F738" w14:textId="2CE96543" w:rsidR="00894F8E" w:rsidRPr="00925AD9" w:rsidRDefault="00894F8E" w:rsidP="00894F8E">
      <w:pPr>
        <w:numPr>
          <w:ilvl w:val="0"/>
          <w:numId w:val="9"/>
        </w:numPr>
        <w:rPr>
          <w:bCs/>
        </w:rPr>
      </w:pPr>
      <w:r w:rsidRPr="00925AD9">
        <w:rPr>
          <w:bCs/>
        </w:rPr>
        <w:t>Bir önceki toplantıda alınan kararların değerlendirilmesi</w:t>
      </w:r>
      <w:r w:rsidR="00120F8F" w:rsidRPr="00925AD9">
        <w:rPr>
          <w:bCs/>
        </w:rPr>
        <w:t>.</w:t>
      </w:r>
    </w:p>
    <w:p w14:paraId="2A8FE16F" w14:textId="10DE76C3" w:rsidR="00894F8E" w:rsidRPr="00925AD9" w:rsidRDefault="00894F8E" w:rsidP="00894F8E">
      <w:pPr>
        <w:numPr>
          <w:ilvl w:val="0"/>
          <w:numId w:val="9"/>
        </w:numPr>
        <w:rPr>
          <w:bCs/>
        </w:rPr>
      </w:pPr>
      <w:r w:rsidRPr="00925AD9">
        <w:rPr>
          <w:bCs/>
        </w:rPr>
        <w:t>Mevzuat, okulun kuruluş amacı ve Görsel Sanatlar öğretim programının incelenmesi; II. dönem planlaması</w:t>
      </w:r>
      <w:r w:rsidR="00120F8F" w:rsidRPr="00925AD9">
        <w:rPr>
          <w:bCs/>
        </w:rPr>
        <w:t>.</w:t>
      </w:r>
    </w:p>
    <w:p w14:paraId="6CC81ABD" w14:textId="417ECBE4" w:rsidR="00894F8E" w:rsidRPr="00925AD9" w:rsidRDefault="00894F8E" w:rsidP="00894F8E">
      <w:pPr>
        <w:numPr>
          <w:ilvl w:val="0"/>
          <w:numId w:val="9"/>
        </w:numPr>
        <w:rPr>
          <w:bCs/>
        </w:rPr>
      </w:pPr>
      <w:r w:rsidRPr="00925AD9">
        <w:rPr>
          <w:bCs/>
        </w:rPr>
        <w:t>Atatürkçülükle ilgili konuların ders/planlara yansıtılması; milli ve manevi değerler ile ilişkilendirme</w:t>
      </w:r>
      <w:r w:rsidR="00120F8F" w:rsidRPr="00925AD9">
        <w:rPr>
          <w:bCs/>
        </w:rPr>
        <w:t>.</w:t>
      </w:r>
    </w:p>
    <w:p w14:paraId="53B6C66F" w14:textId="3860B462" w:rsidR="00894F8E" w:rsidRPr="00925AD9" w:rsidRDefault="00894F8E" w:rsidP="00894F8E">
      <w:pPr>
        <w:numPr>
          <w:ilvl w:val="0"/>
          <w:numId w:val="9"/>
        </w:numPr>
        <w:rPr>
          <w:bCs/>
        </w:rPr>
      </w:pPr>
      <w:r w:rsidRPr="00925AD9">
        <w:rPr>
          <w:bCs/>
        </w:rPr>
        <w:t>Derslerin işlenişinde uygulanacak öğretim yöntem ve teknikleri; okul temelli faaliyetler ve disiplinler arası yaklaşım</w:t>
      </w:r>
      <w:r w:rsidR="00120F8F" w:rsidRPr="00925AD9">
        <w:rPr>
          <w:bCs/>
        </w:rPr>
        <w:t>.</w:t>
      </w:r>
    </w:p>
    <w:p w14:paraId="25E7813E" w14:textId="70F4E32C" w:rsidR="00894F8E" w:rsidRPr="00925AD9" w:rsidRDefault="00894F8E" w:rsidP="00894F8E">
      <w:pPr>
        <w:numPr>
          <w:ilvl w:val="0"/>
          <w:numId w:val="9"/>
        </w:numPr>
        <w:rPr>
          <w:bCs/>
        </w:rPr>
      </w:pPr>
      <w:r w:rsidRPr="00925AD9">
        <w:rPr>
          <w:bCs/>
        </w:rPr>
        <w:t>Öğrenci başarısının izlenmesi; ölçme ve değerlendirme esasları (ürün-süreç, rubrik, kontrol listesi) ve iyileştirme planı</w:t>
      </w:r>
      <w:r w:rsidR="00120F8F" w:rsidRPr="00925AD9">
        <w:rPr>
          <w:bCs/>
        </w:rPr>
        <w:t>.</w:t>
      </w:r>
    </w:p>
    <w:p w14:paraId="25F5502D" w14:textId="23F25560" w:rsidR="00894F8E" w:rsidRPr="00925AD9" w:rsidRDefault="00894F8E" w:rsidP="00894F8E">
      <w:pPr>
        <w:numPr>
          <w:ilvl w:val="0"/>
          <w:numId w:val="9"/>
        </w:numPr>
        <w:rPr>
          <w:bCs/>
        </w:rPr>
      </w:pPr>
      <w:r w:rsidRPr="00925AD9">
        <w:rPr>
          <w:bCs/>
        </w:rPr>
        <w:t xml:space="preserve">Araç-gereç, materyal ve öğrenme ortamlarının etkin kullanımı; </w:t>
      </w:r>
      <w:r w:rsidR="00827B9D" w:rsidRPr="00925AD9">
        <w:rPr>
          <w:bCs/>
        </w:rPr>
        <w:t xml:space="preserve">sınıf </w:t>
      </w:r>
      <w:r w:rsidRPr="00925AD9">
        <w:rPr>
          <w:bCs/>
        </w:rPr>
        <w:t>düzeni ve ihtiyaçların belirlenmesi</w:t>
      </w:r>
      <w:r w:rsidR="00120F8F" w:rsidRPr="00925AD9">
        <w:rPr>
          <w:bCs/>
        </w:rPr>
        <w:t>.</w:t>
      </w:r>
    </w:p>
    <w:p w14:paraId="4F119CDF" w14:textId="20C51AFA" w:rsidR="00894F8E" w:rsidRPr="00925AD9" w:rsidRDefault="00894F8E" w:rsidP="00894F8E">
      <w:pPr>
        <w:numPr>
          <w:ilvl w:val="0"/>
          <w:numId w:val="9"/>
        </w:numPr>
        <w:rPr>
          <w:bCs/>
        </w:rPr>
      </w:pPr>
      <w:r w:rsidRPr="00925AD9">
        <w:rPr>
          <w:bCs/>
        </w:rPr>
        <w:t>Bilimsel/akademik çalışmaların ve teknolojik gelişmelerin izlenmesi; dijital içeriklerin derslere yansıtılması</w:t>
      </w:r>
      <w:r w:rsidR="00120F8F" w:rsidRPr="00925AD9">
        <w:rPr>
          <w:bCs/>
        </w:rPr>
        <w:t>.</w:t>
      </w:r>
    </w:p>
    <w:p w14:paraId="71BBFEA3" w14:textId="44A8A729" w:rsidR="00894F8E" w:rsidRPr="00925AD9" w:rsidRDefault="00894F8E" w:rsidP="00894F8E">
      <w:pPr>
        <w:numPr>
          <w:ilvl w:val="0"/>
          <w:numId w:val="9"/>
        </w:numPr>
        <w:rPr>
          <w:bCs/>
        </w:rPr>
      </w:pPr>
      <w:r w:rsidRPr="00925AD9">
        <w:rPr>
          <w:bCs/>
        </w:rPr>
        <w:t>Okul ve çevre imkânlarıyla gezi-gözlem, sergi, yarışma/etkinlik ve sosyal sorumluluk çalışmalarının planlanması</w:t>
      </w:r>
      <w:r w:rsidR="00120F8F" w:rsidRPr="00925AD9">
        <w:rPr>
          <w:bCs/>
        </w:rPr>
        <w:t>.</w:t>
      </w:r>
    </w:p>
    <w:p w14:paraId="54249512" w14:textId="1521AE88" w:rsidR="00894F8E" w:rsidRPr="00925AD9" w:rsidRDefault="00894F8E" w:rsidP="00894F8E">
      <w:pPr>
        <w:numPr>
          <w:ilvl w:val="0"/>
          <w:numId w:val="9"/>
        </w:numPr>
        <w:rPr>
          <w:bCs/>
        </w:rPr>
      </w:pPr>
      <w:r w:rsidRPr="00925AD9">
        <w:rPr>
          <w:bCs/>
        </w:rPr>
        <w:t>Veli iletişimi ve öğrenci motivasyonu; sergi/sunum süreçlerinin planlanması</w:t>
      </w:r>
      <w:r w:rsidR="00120F8F" w:rsidRPr="00925AD9">
        <w:rPr>
          <w:bCs/>
        </w:rPr>
        <w:t>.</w:t>
      </w:r>
    </w:p>
    <w:p w14:paraId="1A77B613" w14:textId="48315AB1" w:rsidR="00894F8E" w:rsidRPr="00925AD9" w:rsidRDefault="00894F8E" w:rsidP="00894F8E">
      <w:pPr>
        <w:numPr>
          <w:ilvl w:val="0"/>
          <w:numId w:val="9"/>
        </w:numPr>
        <w:rPr>
          <w:bCs/>
        </w:rPr>
      </w:pPr>
      <w:r w:rsidRPr="00925AD9">
        <w:rPr>
          <w:bCs/>
        </w:rPr>
        <w:t>İş sağlığı ve güvenliği tedbirlerinin değerlendirilmesi</w:t>
      </w:r>
      <w:r w:rsidR="00120F8F" w:rsidRPr="00925AD9">
        <w:rPr>
          <w:bCs/>
        </w:rPr>
        <w:t>.</w:t>
      </w:r>
    </w:p>
    <w:p w14:paraId="7D90A4E8" w14:textId="2871167D" w:rsidR="00894F8E" w:rsidRPr="00925AD9" w:rsidRDefault="00894F8E" w:rsidP="00894F8E">
      <w:pPr>
        <w:numPr>
          <w:ilvl w:val="0"/>
          <w:numId w:val="9"/>
        </w:numPr>
        <w:rPr>
          <w:bCs/>
        </w:rPr>
      </w:pPr>
      <w:r w:rsidRPr="00925AD9">
        <w:rPr>
          <w:bCs/>
        </w:rPr>
        <w:t>Dilek ve temenniler; kapanış</w:t>
      </w:r>
      <w:r w:rsidR="00120F8F" w:rsidRPr="00925AD9">
        <w:rPr>
          <w:bCs/>
        </w:rPr>
        <w:t>.</w:t>
      </w:r>
    </w:p>
    <w:p w14:paraId="41A36722" w14:textId="77777777" w:rsidR="002B2C57" w:rsidRPr="00925AD9" w:rsidRDefault="002B2C57" w:rsidP="009205E4">
      <w:pPr>
        <w:rPr>
          <w:b/>
          <w:bCs/>
        </w:rPr>
      </w:pPr>
    </w:p>
    <w:p w14:paraId="37D4A488" w14:textId="77777777" w:rsidR="002A1789" w:rsidRPr="00925AD9" w:rsidRDefault="002A1789" w:rsidP="002A1789">
      <w:pPr>
        <w:rPr>
          <w:b/>
          <w:bCs/>
        </w:rPr>
      </w:pPr>
      <w:r w:rsidRPr="00925AD9">
        <w:rPr>
          <w:b/>
          <w:bCs/>
        </w:rPr>
        <w:t>GÜNDEM MADDELERİNİN GÖRÜŞÜLMESİ</w:t>
      </w:r>
    </w:p>
    <w:p w14:paraId="5E00A2DA" w14:textId="1C7BBF4A" w:rsidR="00894F8E" w:rsidRPr="00925AD9" w:rsidRDefault="00894F8E" w:rsidP="00894F8E">
      <w:r w:rsidRPr="00925AD9">
        <w:rPr>
          <w:b/>
          <w:bCs/>
        </w:rPr>
        <w:t>1. Açılış ve yoklama; toplantı usulünün belirlenmesi</w:t>
      </w:r>
      <w:r w:rsidR="00925AD9" w:rsidRPr="00925AD9">
        <w:rPr>
          <w:b/>
          <w:bCs/>
        </w:rPr>
        <w:t xml:space="preserve">: </w:t>
      </w:r>
      <w:r w:rsidRPr="00925AD9">
        <w:t xml:space="preserve">Toplantı, </w:t>
      </w:r>
      <w:r w:rsidR="00925AD9" w:rsidRPr="00925AD9">
        <w:rPr>
          <w:b/>
          <w:bCs/>
        </w:rPr>
        <w:t xml:space="preserve">MRD. YRD. </w:t>
      </w:r>
      <w:r w:rsidR="00804B9C">
        <w:rPr>
          <w:b/>
          <w:bCs/>
        </w:rPr>
        <w:t>......................</w:t>
      </w:r>
      <w:r w:rsidRPr="00925AD9">
        <w:t xml:space="preserve"> tarafından belirlenen gün ve saatte öğretmenler odasında başlatıldı. II. dönemin uygulama ağırlığı nedeniyle gündemin planlama, materyal ve güvenlik boyutlarını kapsayacak şekilde ele alınması uygun görülmüştür. Toplantı tutanağının resmî formatta hazırlanarak okul idaresine sunulacağı belirtilmiştir. Dönem içinde yapılacak çalışmaların öğrenci ürünlerini görünür kılacak biçimde düzenlenmesinin önemli olduğu vurgulanmıştır.</w:t>
      </w:r>
    </w:p>
    <w:p w14:paraId="184F9AF6" w14:textId="77777777" w:rsidR="00894F8E" w:rsidRPr="00925AD9" w:rsidRDefault="00894F8E" w:rsidP="00894F8E">
      <w:pPr>
        <w:rPr>
          <w:b/>
          <w:bCs/>
        </w:rPr>
      </w:pPr>
    </w:p>
    <w:p w14:paraId="59745C56" w14:textId="07FF85D5" w:rsidR="00894F8E" w:rsidRPr="00925AD9" w:rsidRDefault="00894F8E" w:rsidP="00894F8E">
      <w:r w:rsidRPr="00925AD9">
        <w:rPr>
          <w:b/>
          <w:bCs/>
        </w:rPr>
        <w:t>2. Bir önceki toplantıda alınan kararların değerlendirilmesi</w:t>
      </w:r>
      <w:r w:rsidR="00925AD9" w:rsidRPr="00925AD9">
        <w:rPr>
          <w:b/>
          <w:bCs/>
        </w:rPr>
        <w:t xml:space="preserve">: </w:t>
      </w:r>
      <w:r w:rsidRPr="00925AD9">
        <w:t>Bir önceki zümrede alınan kararlar, uygulama düzeyi açısından gözden geçirilmiştir. I. dönemde pano çalışmaları ve sınıf içi kısa paylaşımların öğrenciyi motive ettiği, bu yaklaşımın II. dönemde de sürdürülmesinin yararlı olacağı değerlendirilmiştir. Malzeme temininde yaşanan gecikmelerin bazı uygulamaları yavaşlattığı, bu nedenle ihtiyaç listesinin dönem başında netleştirilmesi gerektiği belirtilmiştir. Süreç odaklı değerlendirmede öğrenciye verilen kısa geri bildirimlerin öğrenmeyi güçlendirdiği görülmüştür. II. dönemde aynı kararların daha planlı ve takvimlendirilmiş şekilde yürütülmesi gerektiği üzerinde durulmuştur.</w:t>
      </w:r>
    </w:p>
    <w:p w14:paraId="1B416D4E" w14:textId="77777777" w:rsidR="00894F8E" w:rsidRPr="00925AD9" w:rsidRDefault="00894F8E" w:rsidP="00894F8E">
      <w:pPr>
        <w:rPr>
          <w:b/>
          <w:bCs/>
        </w:rPr>
      </w:pPr>
    </w:p>
    <w:p w14:paraId="60073298" w14:textId="142C0A50" w:rsidR="00894F8E" w:rsidRPr="00925AD9" w:rsidRDefault="00894F8E" w:rsidP="00894F8E">
      <w:r w:rsidRPr="00925AD9">
        <w:rPr>
          <w:b/>
          <w:bCs/>
        </w:rPr>
        <w:t>3. Mevzuat, okulun kuruluş amacı ve Görsel Sanatlar öğretim programının incelenmesi; II. dönem planlaması</w:t>
      </w:r>
      <w:r w:rsidR="00925AD9" w:rsidRPr="00925AD9">
        <w:rPr>
          <w:b/>
          <w:bCs/>
        </w:rPr>
        <w:t xml:space="preserve">: </w:t>
      </w:r>
      <w:r w:rsidRPr="00925AD9">
        <w:t xml:space="preserve">Dersin öğretim programı ve okulun genel hedefleri doğrultusunda II. dönem kazanım dağılımı yeniden değerlendirilmiştir. Planlamaların mevzuata uygun biçimde yürütülmesi, dersin amaçlarının süreç içinde öğrenciye açık ve anlaşılır şekilde aktarılması gerektiği vurgulanmıştır. Çevre özellikleri ve okulun </w:t>
      </w:r>
      <w:r w:rsidRPr="00925AD9">
        <w:lastRenderedPageBreak/>
        <w:t>imkânları dikkate alınarak uygulanabilir etkinlik seçimi yapılmasının önemi belirtilmiştir. Yıllık plan ve ders planlarında konu-kazanım yoğunluklarının dengeli tutulması, uygulamaların basitten karmaşığa doğru sıralanması uygun görülmüştür. Dönem boyunca yapılacak çalışmaların “üretim, paylaşım ve değerlendirme” döngüsü içinde ilerlemesi planlanmıştır. Programın gerektirdiği görsel okuryazarlık ve estetik farkındalık hedeflerinin her sınıf düzeyinde somut etkinliklerle desteklenmesi gerektiği ifade edilmiştir. Öğrenci ürünlerinin dönem sonunda dosyalanması ve sergilenmesi için planlarda zaman ayrılması gerektiği de ayrıca değerlendirilmiştir.</w:t>
      </w:r>
    </w:p>
    <w:p w14:paraId="18C2670A" w14:textId="77777777" w:rsidR="00894F8E" w:rsidRPr="00925AD9" w:rsidRDefault="00894F8E" w:rsidP="00894F8E">
      <w:pPr>
        <w:rPr>
          <w:b/>
          <w:bCs/>
        </w:rPr>
      </w:pPr>
    </w:p>
    <w:p w14:paraId="0F2CEBE1" w14:textId="3FD2FD3C" w:rsidR="00894F8E" w:rsidRPr="00925AD9" w:rsidRDefault="00894F8E" w:rsidP="00894F8E">
      <w:r w:rsidRPr="00925AD9">
        <w:rPr>
          <w:b/>
          <w:bCs/>
        </w:rPr>
        <w:t>4. Atatürkçülükle ilgili konuların ders/planlara yansıtılması; milli ve manevi değerler ile ilişkilendirme</w:t>
      </w:r>
      <w:r w:rsidR="00925AD9" w:rsidRPr="00925AD9">
        <w:rPr>
          <w:b/>
          <w:bCs/>
        </w:rPr>
        <w:t xml:space="preserve">: </w:t>
      </w:r>
      <w:r w:rsidRPr="00925AD9">
        <w:t>Atatürkçülükle ilgili konuların uygun tema ve etkinliklerde ders planlarına yerleştirilmesi görüşülmüştür. Milli kültür, ortak değerler, estetik ve sanat mirası bağlamında öğrencilerin farkındalığını artıracak içeriklere yer verilmesi uygun görülmüştür. Öğrenci çalışmalarında saygı, sorumluluk, paylaşım ve emek gibi değerlerin sınıf içinde görünür kılınmasının derse olumlu katkı sağladığı belirtilmiştir. Yerel kültür öğeleri, motifler ve geleneksel sanat örnekleri üzerinden çalışmalar planlanmasının öğrencinin çevreyle bağını güçlendireceği ifade edilmiştir. Değerlerin “söylem” olarak değil, üretim sürecindeki davranış ve tutumlarla desteklenmesi gerektiği vurgulanmıştır.</w:t>
      </w:r>
    </w:p>
    <w:p w14:paraId="5B67FF1C" w14:textId="77777777" w:rsidR="00894F8E" w:rsidRPr="00925AD9" w:rsidRDefault="00894F8E" w:rsidP="00894F8E">
      <w:pPr>
        <w:rPr>
          <w:b/>
          <w:bCs/>
        </w:rPr>
      </w:pPr>
    </w:p>
    <w:p w14:paraId="4961D77A" w14:textId="0A5E8183" w:rsidR="00894F8E" w:rsidRPr="00925AD9" w:rsidRDefault="00894F8E" w:rsidP="00894F8E">
      <w:r w:rsidRPr="00925AD9">
        <w:rPr>
          <w:b/>
          <w:bCs/>
        </w:rPr>
        <w:t>5. Derslerin işlenişinde uygulanacak öğretim yöntem ve teknikleri; okul temelli faaliyetler ve disiplinler arası yaklaşım</w:t>
      </w:r>
      <w:r w:rsidR="00E24FCA">
        <w:rPr>
          <w:b/>
          <w:bCs/>
        </w:rPr>
        <w:t xml:space="preserve">: </w:t>
      </w:r>
      <w:r w:rsidRPr="00925AD9">
        <w:t>II. dönemde derslerin uygulama temelli yürütülmesi, öğrenciye adım adım rehberlik edilmesi ve süreç içinde revizyon yapılmasına fırsat tanınması gerektiği değerlendirilmiştir. Gösterip yaptırma, istasyon çalışması, akran geri bildirimi, örnek eser incelemesi ve proje temelli öğrenme gibi yöntemlerin dengeli kullanılması uygun görülmüştür. Okul temelli faaliyetler kapsamında pano, koridor sergisi ve belirli gün/haftalara yönelik görsel çalışmaların takvime bağlanması önerilmiştir. Disiplinler arası yaklaşımda Türkçe ile kitap kapağı/afiş, Sosyal Bilgiler ile kültürel miras, Fen Bilimleri ile geri dönüşüm temalı tasarım gibi ortak çalışmalar yapılabileceği değerlendirilmiştir. Öğrencilerin eleştirel düşünme ve kendini ifade becerilerini geliştirmek için kısa “ürün sunumu” etkinliklerine yer verilmesi uygun görülmüştür. Sınıf yönetiminde zaman planı yapılması, uygulama süresinin net belirlenmesi ve ders sonunda kısa toparlama rutininin işletilmesi gerektiği vurgulanmıştır. Bu yöntemlerin uygulanmasında sınıf düzeyi ve öğrenci hazır bulunuşluğuna göre esneklik sağlanması gerektiği ayrıca belirtilmiştir.</w:t>
      </w:r>
    </w:p>
    <w:p w14:paraId="455E12D9" w14:textId="77777777" w:rsidR="00894F8E" w:rsidRPr="00925AD9" w:rsidRDefault="00894F8E" w:rsidP="00894F8E">
      <w:pPr>
        <w:rPr>
          <w:b/>
          <w:bCs/>
        </w:rPr>
      </w:pPr>
    </w:p>
    <w:p w14:paraId="49943AC3" w14:textId="0FDC3500" w:rsidR="00894F8E" w:rsidRPr="00925AD9" w:rsidRDefault="00894F8E" w:rsidP="00894F8E">
      <w:r w:rsidRPr="00925AD9">
        <w:rPr>
          <w:b/>
          <w:bCs/>
        </w:rPr>
        <w:t>6. Öğrenci başarısının izlenmesi; ölçme ve değerlendirme esasları ve iyileştirme planı</w:t>
      </w:r>
      <w:r w:rsidR="00CA1054">
        <w:rPr>
          <w:b/>
          <w:bCs/>
        </w:rPr>
        <w:t xml:space="preserve">: </w:t>
      </w:r>
      <w:r w:rsidRPr="00925AD9">
        <w:t>Görsel Sanatlar dersinde değerlendirmede süreç ve emeğin esas alınması gerektiği vurgulanmıştır. Ürün değerlendirmesinde rubrik ve kontrol listeleri kullanılarak ölçütlerin şeffaflaştırılmasının öğrenciye yol gösterdiği belirtilmiştir. Ölçütler arasında özgünlük, kompozisyon, teknik kullanım, işin tamamlanması, sunum düzeni ve yönerge takibi gibi başlıkların yer alması uygun görülmüştür. Öğrenci gelişimini izlemek için dönem boyunca ürün dosyası tutulması ve belirli aralıklarla kısa geri bildirim verilmesi planlanmıştır. Zorlanan öğrenciler için küçük adımlı görevler, ek örnek gösterimi ve sınıf içi destekleyici uygulamalar yapılması değerlendirilmiştir. Dönem sonu sergi/sunum çalışmalarında öğrencinin süreci açıklamasına fırsat verilmesinin değerlendirmeyi güçlendireceği ifade edilmiştir.</w:t>
      </w:r>
    </w:p>
    <w:p w14:paraId="0E31E65E" w14:textId="77777777" w:rsidR="00894F8E" w:rsidRPr="00925AD9" w:rsidRDefault="00894F8E" w:rsidP="00894F8E">
      <w:pPr>
        <w:rPr>
          <w:b/>
          <w:bCs/>
        </w:rPr>
      </w:pPr>
    </w:p>
    <w:p w14:paraId="32299A91" w14:textId="5DDCBB3C" w:rsidR="00894F8E" w:rsidRPr="00925AD9" w:rsidRDefault="00894F8E" w:rsidP="00894F8E">
      <w:r w:rsidRPr="00925AD9">
        <w:rPr>
          <w:b/>
          <w:bCs/>
        </w:rPr>
        <w:t>8. Araç-gereç, materyal ve öğrenme ortamlarının etkin kullanımı; atölye düzeni ve ihtiyaçların belirlenmesi</w:t>
      </w:r>
      <w:r w:rsidR="00CA1054">
        <w:rPr>
          <w:b/>
          <w:bCs/>
        </w:rPr>
        <w:t xml:space="preserve">: </w:t>
      </w:r>
      <w:r w:rsidRPr="00925AD9">
        <w:t xml:space="preserve">II. dönem için gerekli temel malzemelerin dönem başında planlanması ve öğrenci-veli yükünü artırmayacak seçeneklerin sunulması gerektiği görüşülmüştür. Ortak kullanılabilecek malzemelerin okul imkânlarıyla desteklenmesi, sınıf içinde paylaşım kültürünün de güçlendirilmesine katkı sağlayacağı belirtilmiştir. </w:t>
      </w:r>
      <w:r w:rsidR="00CB0D4B">
        <w:t xml:space="preserve">Sınıf </w:t>
      </w:r>
      <w:r w:rsidRPr="00925AD9">
        <w:t>düzeninde oturma planı, malzeme dağıtım-toplama akışı ve çalışma alanı güvenliğinin önceden belirlenmesi gerektiği vurgulanmıştır. Kütüphane ve okul panolarının görsel kaynak olarak kullanılması, öğrenciye ilham ve referans sağlayacağı değerlendirilmiştir. Yapıştırıcı, boya ve benzeri malzemelerde temizlik ve havalandırma düzeninin oluşturulmasının ders verimini artıracağı ifade edilmiştir. Malzemelerin depolanması için çalışmaların zarar görmeyeceği bir saklama düzeni kurulmasının gerekli olduğu belirtilmiştir. Bu başlıkta ayrıca geri dönüşüm malzemeleriyle üretim yapılarak hem maliyetin azaltılabileceği hem de çevre farkındalığının desteklenebileceği değerlendirilmiştir.</w:t>
      </w:r>
    </w:p>
    <w:p w14:paraId="586E20BB" w14:textId="77777777" w:rsidR="00894F8E" w:rsidRPr="00925AD9" w:rsidRDefault="00894F8E" w:rsidP="00894F8E">
      <w:pPr>
        <w:rPr>
          <w:b/>
          <w:bCs/>
        </w:rPr>
      </w:pPr>
    </w:p>
    <w:p w14:paraId="011B6EEB" w14:textId="57504670" w:rsidR="00894F8E" w:rsidRPr="00925AD9" w:rsidRDefault="00894F8E" w:rsidP="00894F8E">
      <w:r w:rsidRPr="00925AD9">
        <w:rPr>
          <w:b/>
          <w:bCs/>
        </w:rPr>
        <w:lastRenderedPageBreak/>
        <w:t>9. Bilimsel/akademik çalışmaların ve teknolojik gelişmelerin izlenmesi; dijital içeriklerin derslere yansıtılması</w:t>
      </w:r>
      <w:r w:rsidR="00073E9B">
        <w:rPr>
          <w:b/>
          <w:bCs/>
        </w:rPr>
        <w:t xml:space="preserve">: </w:t>
      </w:r>
      <w:r w:rsidRPr="00925AD9">
        <w:t>Öğretim alanıyla ilgili güncel yaklaşımların izlenmesi ve uygulanabilir olanların derslere aktarılması gerektiği görüşülmüştür. EBA ve güvenilir dijital içerikler üzerinden eser incelemesi, teknik tanıtımı ve görsel örnek sunumlarının ders kalitesini artırdığı belirtilmiştir. Dijital içeriklerin amaç değil araç olarak kullanılması, temel hedefin öğrencinin üretim sürecini geliştirmek olması gerektiği vurgulanmıştır. Telif ve etik kullanım konusunda öğrencilere yaş düzeyine uygun farkındalık kazandırılması gerektiği ifade edilmiştir. Dijital görsel okuryazarlık kapsamında öğrencilerin görseli yorumlama, mesajı ayırt etme ve eleştirel bakış geliştirme becerilerinin destekleneceği değerlendirilmiştir.</w:t>
      </w:r>
    </w:p>
    <w:p w14:paraId="2548EB35" w14:textId="77777777" w:rsidR="00894F8E" w:rsidRPr="00925AD9" w:rsidRDefault="00894F8E" w:rsidP="00894F8E">
      <w:pPr>
        <w:rPr>
          <w:b/>
          <w:bCs/>
        </w:rPr>
      </w:pPr>
    </w:p>
    <w:p w14:paraId="147AD05E" w14:textId="4CE8D756" w:rsidR="00894F8E" w:rsidRPr="00925AD9" w:rsidRDefault="00894F8E" w:rsidP="00894F8E">
      <w:r w:rsidRPr="00925AD9">
        <w:rPr>
          <w:b/>
          <w:bCs/>
        </w:rPr>
        <w:t>10. Okul ve çevre imkânlarıyla gezi-gözlem, sergi, yarışma/etkinlik ve sosyal sorumluluk çalışmalarının planlanması</w:t>
      </w:r>
      <w:r w:rsidR="00820B99">
        <w:rPr>
          <w:b/>
          <w:bCs/>
        </w:rPr>
        <w:t xml:space="preserve">: </w:t>
      </w:r>
      <w:r w:rsidRPr="00925AD9">
        <w:t>Okul ve çevre imkânları dikkate alınarak yapılabilecek sergi, pano ve temalı etkinlikler değerlendirilmiştir. Mümkün olması hâlinde müze/sergi gezisi planlanabileceği, mümkün olmazsa sanal tur ve sınıf içi eser incelemeleriyle benzer kazanımların destekleneceği belirtilmiştir. Yarışma ve etkinliklere katılımda öğrencilerin istekliliğinin esas alınması, sürecin teşvik edici ve geliştirici biçimde yürütülmesi gerektiği vurgulanmıştır. Sosyal sorumluluk kapsamında geri dönüşüm, okulun güzelleştirilmesi, dayanışma temalı afiş/pano çalışmaları gibi etkinlikler planlanabileceği ifade edilmiştir. Bu çalışmaların öğrencide girişim, iş birliği ve sorumluluk duygusunu geliştireceği değerlendirilmiştir.</w:t>
      </w:r>
    </w:p>
    <w:p w14:paraId="7754B9D6" w14:textId="77777777" w:rsidR="00894F8E" w:rsidRPr="00925AD9" w:rsidRDefault="00894F8E" w:rsidP="00894F8E">
      <w:pPr>
        <w:rPr>
          <w:b/>
          <w:bCs/>
        </w:rPr>
      </w:pPr>
    </w:p>
    <w:p w14:paraId="469852F5" w14:textId="658F1DDB" w:rsidR="00894F8E" w:rsidRPr="00925AD9" w:rsidRDefault="00894F8E" w:rsidP="00894F8E">
      <w:r w:rsidRPr="00925AD9">
        <w:rPr>
          <w:b/>
          <w:bCs/>
        </w:rPr>
        <w:t>11. Veli iletişimi ve öğrenci motivasyonu; sergi/sunum süreçlerinin planlanması</w:t>
      </w:r>
      <w:r w:rsidR="00820B99">
        <w:rPr>
          <w:b/>
          <w:bCs/>
        </w:rPr>
        <w:t xml:space="preserve">: </w:t>
      </w:r>
      <w:r w:rsidRPr="00925AD9">
        <w:t>Veli iletişiminin öğrencinin derse yönelik tutumunu güçlendirdiği, özellikle ürünlerin görünür kılınmasının motivasyonu artırdığı belirtilmiştir. Dönem içinde yapılacak sergi/pano çalışmalarının velilere duyurulması ve öğrencinin emeğinin takdir edilmesinin önemli olduğu ifade edilmiştir. Ürün dosyası uygulamasında velinin bilgilendirilmesi, öğrencinin çalışmalarını düzenli takip etmesine katkı sağlayacağı değerlendirilmiştir. Öğrenci motivasyonu için sınıf içi küçük hedefler belirlenmesi, tamamlanan işlerin sergilenmesi ve kısa sözlü geri bildirim verilmesi planlanmıştır. Öğrencilerin derse hazırlıklı gelmesi ve malzeme sorumluluğunu geliştirmesi için sınıf düzeyine uygun hatırlatma ve takip yöntemleri uygulanması uygun görülmüştür.</w:t>
      </w:r>
    </w:p>
    <w:p w14:paraId="7121F8CB" w14:textId="77777777" w:rsidR="00894F8E" w:rsidRPr="00925AD9" w:rsidRDefault="00894F8E" w:rsidP="00894F8E">
      <w:pPr>
        <w:rPr>
          <w:b/>
          <w:bCs/>
        </w:rPr>
      </w:pPr>
    </w:p>
    <w:p w14:paraId="5CB357CF" w14:textId="37C801EB" w:rsidR="00894F8E" w:rsidRPr="00925AD9" w:rsidRDefault="00894F8E" w:rsidP="00894F8E">
      <w:r w:rsidRPr="00925AD9">
        <w:rPr>
          <w:b/>
          <w:bCs/>
        </w:rPr>
        <w:t>12. İş sağlığı ve güvenliği tedbirlerinin değerlendirilmesi</w:t>
      </w:r>
      <w:r w:rsidR="00DC0025">
        <w:rPr>
          <w:b/>
          <w:bCs/>
        </w:rPr>
        <w:t xml:space="preserve">: </w:t>
      </w:r>
      <w:r w:rsidRPr="00925AD9">
        <w:t>Uygulamalı derslerde güvenlik tedbirlerinin dersin ayrılmaz bir parçası olduğu vurgulanmıştır. Kesici-delici araçların kullanımında yaş düzeyine uygun kuralların uygulanacağı ve riskli işlemlerin kontrollü yürütüleceği belirtilmiştir. Boya ve yapıştırıcı kullanımında havalandırma, masa koruma ve el hijyeni gibi kurallara dikkat edilmesi gerektiği ifade edilmiştir. Sınıf içinde hareket alanının açık tutulması, çanta ve malzemelerin geçişi engellemeyecek şekilde düzenlenmesi planlanmıştır. Her ders başında kısa güvenlik hatırlatması yapılmasının kazaları önlemede etkili olacağı değerlendirilmiştir.</w:t>
      </w:r>
    </w:p>
    <w:p w14:paraId="5C746966" w14:textId="77777777" w:rsidR="00894F8E" w:rsidRPr="00925AD9" w:rsidRDefault="00894F8E" w:rsidP="00894F8E">
      <w:pPr>
        <w:rPr>
          <w:b/>
          <w:bCs/>
        </w:rPr>
      </w:pPr>
    </w:p>
    <w:p w14:paraId="673C776A" w14:textId="336EA756" w:rsidR="00894F8E" w:rsidRPr="00925AD9" w:rsidRDefault="00894F8E" w:rsidP="00894F8E">
      <w:r w:rsidRPr="00925AD9">
        <w:rPr>
          <w:b/>
          <w:bCs/>
        </w:rPr>
        <w:t>13. Dilek ve temenniler; kapanış</w:t>
      </w:r>
      <w:r w:rsidR="007C75C1">
        <w:rPr>
          <w:b/>
          <w:bCs/>
        </w:rPr>
        <w:t xml:space="preserve">: </w:t>
      </w:r>
      <w:r w:rsidRPr="00925AD9">
        <w:t>II. dönemde süreç odaklı üretim ve değerlendirme anlayışının güçlendirilmesi gerektiği ifade edilmiştir. Malzeme planlaması ve atölye düzeninin dönem başında netleştirilmesiyle uygulamaların daha akıcı yürütüleceği belirtilmiştir. Disiplinler arası çalışmaların okul iklimine katkı sağlayacağı ve öğrencinin öğrenmesini bütüncül destekleyeceği vurgulanmıştır. Sergi ve pano çalışmalarının öğrencilerin özgüvenini artırdığı, bu nedenle düzenli planlanmasının yararlı olacağı ifade edilmiştir. Görüşülecek başka konu kalmadığından toplantı iyi dileklerle kapatılmıştır.</w:t>
      </w:r>
    </w:p>
    <w:p w14:paraId="15BE07D5" w14:textId="78FC5334" w:rsidR="00894F8E" w:rsidRPr="00925AD9" w:rsidRDefault="00894F8E" w:rsidP="00894F8E"/>
    <w:p w14:paraId="3D60863D" w14:textId="77777777" w:rsidR="00894F8E" w:rsidRPr="00925AD9" w:rsidRDefault="00894F8E" w:rsidP="00894F8E"/>
    <w:p w14:paraId="257DAD45" w14:textId="77777777" w:rsidR="00894F8E" w:rsidRPr="00925AD9" w:rsidRDefault="00894F8E" w:rsidP="00894F8E"/>
    <w:p w14:paraId="2B2848BC" w14:textId="371668AE" w:rsidR="00894F8E" w:rsidRDefault="00894F8E" w:rsidP="00894F8E"/>
    <w:p w14:paraId="71BABE43" w14:textId="2422157D" w:rsidR="007C75C1" w:rsidRDefault="007C75C1" w:rsidP="00894F8E"/>
    <w:p w14:paraId="4A9F2DB5" w14:textId="57A955AA" w:rsidR="007C75C1" w:rsidRDefault="007C75C1" w:rsidP="00894F8E"/>
    <w:p w14:paraId="16483D97" w14:textId="6C6F93BB" w:rsidR="007C75C1" w:rsidRDefault="007C75C1" w:rsidP="00894F8E"/>
    <w:p w14:paraId="0F8370E3" w14:textId="408E62FF" w:rsidR="007C75C1" w:rsidRDefault="007C75C1" w:rsidP="00894F8E"/>
    <w:p w14:paraId="3178A2C2" w14:textId="77777777" w:rsidR="007C75C1" w:rsidRPr="00925AD9" w:rsidRDefault="007C75C1" w:rsidP="00894F8E"/>
    <w:p w14:paraId="67BCC55A" w14:textId="77777777" w:rsidR="00894F8E" w:rsidRPr="00925AD9" w:rsidRDefault="00894F8E" w:rsidP="00894F8E"/>
    <w:p w14:paraId="28DBFBE8" w14:textId="77777777" w:rsidR="00894F8E" w:rsidRPr="00925AD9" w:rsidRDefault="00894F8E" w:rsidP="00894F8E"/>
    <w:p w14:paraId="4E4376A8" w14:textId="77777777" w:rsidR="00894F8E" w:rsidRPr="00925AD9" w:rsidRDefault="00894F8E" w:rsidP="00894F8E"/>
    <w:p w14:paraId="61FDAB1B" w14:textId="77777777" w:rsidR="007C75C1" w:rsidRPr="00925AD9" w:rsidRDefault="007C75C1" w:rsidP="007C75C1">
      <w:pPr>
        <w:jc w:val="center"/>
      </w:pPr>
      <w:r w:rsidRPr="00925AD9">
        <w:rPr>
          <w:b/>
          <w:bCs/>
        </w:rPr>
        <w:lastRenderedPageBreak/>
        <w:t>2025-2026 EĞİTİM-ÖĞRETİM YILI</w:t>
      </w:r>
    </w:p>
    <w:p w14:paraId="5B9A2850" w14:textId="3653FBFA" w:rsidR="007C75C1" w:rsidRPr="00925AD9" w:rsidRDefault="00A24713" w:rsidP="007C75C1">
      <w:pPr>
        <w:jc w:val="center"/>
      </w:pPr>
      <w:r>
        <w:rPr>
          <w:b/>
          <w:bCs/>
        </w:rPr>
        <w:t>.................................................</w:t>
      </w:r>
      <w:r w:rsidR="007C75C1" w:rsidRPr="00925AD9">
        <w:rPr>
          <w:b/>
          <w:bCs/>
        </w:rPr>
        <w:t xml:space="preserve"> ORTAOKULU</w:t>
      </w:r>
    </w:p>
    <w:p w14:paraId="4409686B" w14:textId="77777777" w:rsidR="007C75C1" w:rsidRPr="00925AD9" w:rsidRDefault="007C75C1" w:rsidP="007C75C1">
      <w:pPr>
        <w:jc w:val="center"/>
        <w:rPr>
          <w:b/>
          <w:bCs/>
        </w:rPr>
      </w:pPr>
      <w:r w:rsidRPr="00925AD9">
        <w:rPr>
          <w:b/>
          <w:bCs/>
        </w:rPr>
        <w:t>GÖRSEL SANATLAR İKİNCİ DÖNEM BAŞI ZÜMRE TOPLANTI TUTANAĞI</w:t>
      </w:r>
    </w:p>
    <w:p w14:paraId="363F468E" w14:textId="77777777" w:rsidR="00894F8E" w:rsidRPr="00925AD9" w:rsidRDefault="00894F8E" w:rsidP="008D16AF">
      <w:pPr>
        <w:ind w:firstLine="360"/>
        <w:rPr>
          <w:b/>
          <w:bCs/>
        </w:rPr>
      </w:pPr>
      <w:r w:rsidRPr="00925AD9">
        <w:rPr>
          <w:b/>
          <w:bCs/>
        </w:rPr>
        <w:t>ALINAN KARARLAR</w:t>
      </w:r>
    </w:p>
    <w:p w14:paraId="0C1084F3" w14:textId="77777777" w:rsidR="00894F8E" w:rsidRPr="00925AD9" w:rsidRDefault="00894F8E" w:rsidP="00894F8E">
      <w:pPr>
        <w:numPr>
          <w:ilvl w:val="0"/>
          <w:numId w:val="10"/>
        </w:numPr>
      </w:pPr>
      <w:r w:rsidRPr="00925AD9">
        <w:t>Bir önceki toplantı kararlarının II. dönemde takvimlendirilerek daha planlı uygulanmasına kararlaştırdı.</w:t>
      </w:r>
    </w:p>
    <w:p w14:paraId="70C92289" w14:textId="77777777" w:rsidR="00894F8E" w:rsidRPr="00925AD9" w:rsidRDefault="00894F8E" w:rsidP="00894F8E">
      <w:pPr>
        <w:numPr>
          <w:ilvl w:val="0"/>
          <w:numId w:val="10"/>
        </w:numPr>
      </w:pPr>
      <w:r w:rsidRPr="00925AD9">
        <w:t>II. dönem planlamalarının mevzuata, okulun kuruluş amacına ve Görsel Sanatlar öğretim programına uygun yürütülmesine kararlaştırdı.</w:t>
      </w:r>
    </w:p>
    <w:p w14:paraId="6F3ECDD0" w14:textId="77777777" w:rsidR="00894F8E" w:rsidRPr="00925AD9" w:rsidRDefault="00894F8E" w:rsidP="00894F8E">
      <w:pPr>
        <w:numPr>
          <w:ilvl w:val="0"/>
          <w:numId w:val="10"/>
        </w:numPr>
      </w:pPr>
      <w:r w:rsidRPr="00925AD9">
        <w:t>Atatürkçülükle ilgili konuların uygun tema ve etkinliklerle ders planlarına yansıtılmasına kararlaştırdı.</w:t>
      </w:r>
    </w:p>
    <w:p w14:paraId="576AA211" w14:textId="77777777" w:rsidR="00894F8E" w:rsidRPr="00925AD9" w:rsidRDefault="00894F8E" w:rsidP="00894F8E">
      <w:pPr>
        <w:numPr>
          <w:ilvl w:val="0"/>
          <w:numId w:val="10"/>
        </w:numPr>
      </w:pPr>
      <w:r w:rsidRPr="00925AD9">
        <w:t>Derslerde uygulama temelli yöntem-tekniklerin dengeli kullanılmasına ve okul temelli faaliyetlerin takvime bağlanmasına kararlaştırdı.</w:t>
      </w:r>
    </w:p>
    <w:p w14:paraId="30D8499B" w14:textId="77777777" w:rsidR="00894F8E" w:rsidRPr="00925AD9" w:rsidRDefault="00894F8E" w:rsidP="00894F8E">
      <w:pPr>
        <w:numPr>
          <w:ilvl w:val="0"/>
          <w:numId w:val="10"/>
        </w:numPr>
      </w:pPr>
      <w:r w:rsidRPr="00925AD9">
        <w:t>Ölçme ve değerlendirmede rubrik, kontrol listesi ve ürün dosyası yaklaşımının esas alınmasına kararlaştırdı.</w:t>
      </w:r>
    </w:p>
    <w:p w14:paraId="748C9A92" w14:textId="77777777" w:rsidR="00894F8E" w:rsidRPr="00925AD9" w:rsidRDefault="00894F8E" w:rsidP="00894F8E">
      <w:pPr>
        <w:numPr>
          <w:ilvl w:val="0"/>
          <w:numId w:val="10"/>
        </w:numPr>
      </w:pPr>
      <w:r w:rsidRPr="00925AD9">
        <w:t>Öğrenci başarısını izlemek için dönem içinde düzenli geri bildirim verilmesine ve ihtiyaç duyan öğrenciler için destekleyici uygulamalar yapılmasına kararlaştırdı.</w:t>
      </w:r>
    </w:p>
    <w:p w14:paraId="5112B605" w14:textId="77777777" w:rsidR="00894F8E" w:rsidRPr="00925AD9" w:rsidRDefault="00894F8E" w:rsidP="00894F8E">
      <w:pPr>
        <w:numPr>
          <w:ilvl w:val="0"/>
          <w:numId w:val="10"/>
        </w:numPr>
      </w:pPr>
      <w:r w:rsidRPr="00925AD9">
        <w:t>Özel eğitim ihtiyacı olan öğrenciler için uyarlama ve farklılaştırma yapılmasına, değerlendirmede bireysel hedef ve gelişimin esas alınmasına kararlaştırdı.</w:t>
      </w:r>
    </w:p>
    <w:p w14:paraId="55DDB5B5" w14:textId="77777777" w:rsidR="00894F8E" w:rsidRPr="00925AD9" w:rsidRDefault="00894F8E" w:rsidP="00894F8E">
      <w:pPr>
        <w:numPr>
          <w:ilvl w:val="0"/>
          <w:numId w:val="10"/>
        </w:numPr>
      </w:pPr>
      <w:r w:rsidRPr="00925AD9">
        <w:t>Materyal ve araç-gereç ihtiyaçlarının dönem başında belirlenmesine ve atölye düzeninin kullanım akışına göre planlanmasına kararlaştırdı.</w:t>
      </w:r>
    </w:p>
    <w:p w14:paraId="3590BD11" w14:textId="77777777" w:rsidR="00894F8E" w:rsidRPr="00925AD9" w:rsidRDefault="00894F8E" w:rsidP="00894F8E">
      <w:pPr>
        <w:numPr>
          <w:ilvl w:val="0"/>
          <w:numId w:val="10"/>
        </w:numPr>
      </w:pPr>
      <w:r w:rsidRPr="00925AD9">
        <w:t>EBA ve güvenilir dijital içeriklerin derslere destekleyici biçimde yansıtılmasına ve telif/etik farkındalığının kazandırılmasına kararlaştırdı.</w:t>
      </w:r>
    </w:p>
    <w:p w14:paraId="0CB206A0" w14:textId="77777777" w:rsidR="00894F8E" w:rsidRPr="00925AD9" w:rsidRDefault="00894F8E" w:rsidP="00894F8E">
      <w:pPr>
        <w:numPr>
          <w:ilvl w:val="0"/>
          <w:numId w:val="10"/>
        </w:numPr>
      </w:pPr>
      <w:r w:rsidRPr="00925AD9">
        <w:t>Okul içi ve okul dışı öğrenme kapsamında sergi, gezi-gözlem ve etkinliklerin imkânlar ölçüsünde planlanmasına kararlaştırdı.</w:t>
      </w:r>
    </w:p>
    <w:p w14:paraId="24B4EC9D" w14:textId="77777777" w:rsidR="00894F8E" w:rsidRPr="00925AD9" w:rsidRDefault="00894F8E" w:rsidP="00894F8E">
      <w:pPr>
        <w:numPr>
          <w:ilvl w:val="0"/>
          <w:numId w:val="10"/>
        </w:numPr>
      </w:pPr>
      <w:r w:rsidRPr="00925AD9">
        <w:t>Veli iletişiminin güçlendirilmesine ve sergi/sunum süreçleriyle öğrenci motivasyonunun desteklenmesine kararlaştırdı.</w:t>
      </w:r>
    </w:p>
    <w:p w14:paraId="4BE5F743" w14:textId="77777777" w:rsidR="00894F8E" w:rsidRPr="00925AD9" w:rsidRDefault="00894F8E" w:rsidP="00894F8E">
      <w:pPr>
        <w:numPr>
          <w:ilvl w:val="0"/>
          <w:numId w:val="10"/>
        </w:numPr>
      </w:pPr>
      <w:r w:rsidRPr="00925AD9">
        <w:t>İş sağlığı ve güvenliği kurallarına uygulamalı derslerde titizlikle uyulmasına kararlaştırdı.</w:t>
      </w:r>
    </w:p>
    <w:p w14:paraId="10B9A8EC" w14:textId="77777777" w:rsidR="00024F33" w:rsidRPr="00925AD9" w:rsidRDefault="00024F33" w:rsidP="00024F33"/>
    <w:p w14:paraId="0D6A88B3" w14:textId="77777777" w:rsidR="00024F33" w:rsidRPr="00925AD9" w:rsidRDefault="00024F33" w:rsidP="00024F33"/>
    <w:p w14:paraId="1D0AB5A1" w14:textId="6E4356B8" w:rsidR="00124204" w:rsidRDefault="00124204" w:rsidP="005C0A94"/>
    <w:p w14:paraId="2862BF97" w14:textId="6F5CC950" w:rsidR="00F02EAB" w:rsidRDefault="00F02EAB" w:rsidP="005C0A94"/>
    <w:p w14:paraId="55A3EA83" w14:textId="0C688586" w:rsidR="00F02EAB" w:rsidRDefault="00F02EAB" w:rsidP="005C0A94"/>
    <w:p w14:paraId="20D728AB" w14:textId="1B855BBE" w:rsidR="00F02EAB" w:rsidRPr="00F02EAB" w:rsidRDefault="00A24713" w:rsidP="00F02EAB">
      <w:pPr>
        <w:ind w:left="708" w:firstLine="708"/>
        <w:rPr>
          <w:b/>
        </w:rPr>
      </w:pPr>
      <w:r>
        <w:rPr>
          <w:b/>
        </w:rPr>
        <w:t>..................................</w:t>
      </w:r>
      <w:r w:rsidR="00F02EAB" w:rsidRPr="00F02EAB">
        <w:rPr>
          <w:b/>
        </w:rPr>
        <w:tab/>
      </w:r>
      <w:r w:rsidR="00F02EAB" w:rsidRPr="00F02EAB">
        <w:rPr>
          <w:b/>
        </w:rPr>
        <w:tab/>
      </w:r>
      <w:r w:rsidR="00F02EAB" w:rsidRPr="00F02EAB">
        <w:rPr>
          <w:b/>
        </w:rPr>
        <w:tab/>
      </w:r>
      <w:r w:rsidR="00F02EAB" w:rsidRPr="00F02EAB">
        <w:rPr>
          <w:b/>
        </w:rPr>
        <w:tab/>
      </w:r>
      <w:r>
        <w:rPr>
          <w:b/>
        </w:rPr>
        <w:t>......................</w:t>
      </w:r>
    </w:p>
    <w:p w14:paraId="29CCCAAF" w14:textId="77C7B43B" w:rsidR="00F02EAB" w:rsidRPr="00925AD9" w:rsidRDefault="004C4C21" w:rsidP="00F02EAB">
      <w:pPr>
        <w:ind w:left="708" w:firstLine="708"/>
      </w:pPr>
      <w:r>
        <w:t>Ders Öğretmeni</w:t>
      </w:r>
      <w:r w:rsidR="00F02EAB">
        <w:tab/>
      </w:r>
      <w:r w:rsidR="00F02EAB">
        <w:tab/>
      </w:r>
      <w:r w:rsidR="00F02EAB">
        <w:tab/>
      </w:r>
      <w:r w:rsidR="00F02EAB">
        <w:tab/>
        <w:t>Mdr. Yrd.</w:t>
      </w:r>
    </w:p>
    <w:sectPr w:rsidR="00F02EAB" w:rsidRPr="00925AD9" w:rsidSect="004D2914">
      <w:pgSz w:w="11905" w:h="16837"/>
      <w:pgMar w:top="600" w:right="990" w:bottom="600" w:left="99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9C217" w14:textId="77777777" w:rsidR="00CD5716" w:rsidRDefault="00CD5716" w:rsidP="00CD19EE">
      <w:pPr>
        <w:spacing w:line="240" w:lineRule="auto"/>
      </w:pPr>
      <w:r>
        <w:separator/>
      </w:r>
    </w:p>
  </w:endnote>
  <w:endnote w:type="continuationSeparator" w:id="0">
    <w:p w14:paraId="7F33A175" w14:textId="77777777" w:rsidR="00CD5716" w:rsidRDefault="00CD5716" w:rsidP="00CD1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6D9DD" w14:textId="77777777" w:rsidR="00CD5716" w:rsidRDefault="00CD5716" w:rsidP="00CD19EE">
      <w:pPr>
        <w:spacing w:line="240" w:lineRule="auto"/>
      </w:pPr>
      <w:r>
        <w:separator/>
      </w:r>
    </w:p>
  </w:footnote>
  <w:footnote w:type="continuationSeparator" w:id="0">
    <w:p w14:paraId="052F1332" w14:textId="77777777" w:rsidR="00CD5716" w:rsidRDefault="00CD5716" w:rsidP="00CD19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657"/>
    <w:multiLevelType w:val="multilevel"/>
    <w:tmpl w:val="B1246284"/>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364B7"/>
    <w:multiLevelType w:val="multilevel"/>
    <w:tmpl w:val="3C62D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30E41"/>
    <w:multiLevelType w:val="hybridMultilevel"/>
    <w:tmpl w:val="4634C6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CB3B02"/>
    <w:multiLevelType w:val="hybridMultilevel"/>
    <w:tmpl w:val="B69863DC"/>
    <w:lvl w:ilvl="0" w:tplc="3A7046B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ED04B18"/>
    <w:multiLevelType w:val="hybridMultilevel"/>
    <w:tmpl w:val="DD4EBB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2404FB"/>
    <w:multiLevelType w:val="multilevel"/>
    <w:tmpl w:val="94CC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776DE"/>
    <w:multiLevelType w:val="hybridMultilevel"/>
    <w:tmpl w:val="DD4EBB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C52C2B"/>
    <w:multiLevelType w:val="multilevel"/>
    <w:tmpl w:val="5BB23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F34F0"/>
    <w:multiLevelType w:val="hybridMultilevel"/>
    <w:tmpl w:val="4634C6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611887"/>
    <w:multiLevelType w:val="multilevel"/>
    <w:tmpl w:val="46DC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6"/>
  </w:num>
  <w:num w:numId="5">
    <w:abstractNumId w:val="3"/>
  </w:num>
  <w:num w:numId="6">
    <w:abstractNumId w:val="4"/>
  </w:num>
  <w:num w:numId="7">
    <w:abstractNumId w:val="1"/>
  </w:num>
  <w:num w:numId="8">
    <w:abstractNumId w:val="9"/>
  </w:num>
  <w:num w:numId="9">
    <w:abstractNumId w:val="5"/>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5B26"/>
    <w:rsid w:val="00011F92"/>
    <w:rsid w:val="0002112D"/>
    <w:rsid w:val="000212D1"/>
    <w:rsid w:val="00024F33"/>
    <w:rsid w:val="00027083"/>
    <w:rsid w:val="00043870"/>
    <w:rsid w:val="000472E3"/>
    <w:rsid w:val="00073E9B"/>
    <w:rsid w:val="000830DD"/>
    <w:rsid w:val="00087E13"/>
    <w:rsid w:val="00096534"/>
    <w:rsid w:val="000D53BC"/>
    <w:rsid w:val="000F4CF5"/>
    <w:rsid w:val="00120F8F"/>
    <w:rsid w:val="00124204"/>
    <w:rsid w:val="0012596F"/>
    <w:rsid w:val="00157F4D"/>
    <w:rsid w:val="00162077"/>
    <w:rsid w:val="00175C48"/>
    <w:rsid w:val="001908C5"/>
    <w:rsid w:val="001A75E2"/>
    <w:rsid w:val="001A7BA7"/>
    <w:rsid w:val="001B24A3"/>
    <w:rsid w:val="001C0E59"/>
    <w:rsid w:val="001D1B4A"/>
    <w:rsid w:val="001D653D"/>
    <w:rsid w:val="00212E83"/>
    <w:rsid w:val="00224745"/>
    <w:rsid w:val="00225C22"/>
    <w:rsid w:val="00242DBB"/>
    <w:rsid w:val="002532C3"/>
    <w:rsid w:val="002625DB"/>
    <w:rsid w:val="00275B26"/>
    <w:rsid w:val="00296BD9"/>
    <w:rsid w:val="002A1789"/>
    <w:rsid w:val="002B2C57"/>
    <w:rsid w:val="002C57DE"/>
    <w:rsid w:val="002E0FF6"/>
    <w:rsid w:val="002E1A63"/>
    <w:rsid w:val="00302860"/>
    <w:rsid w:val="00313F64"/>
    <w:rsid w:val="0033464C"/>
    <w:rsid w:val="00354960"/>
    <w:rsid w:val="0039076D"/>
    <w:rsid w:val="003A76AC"/>
    <w:rsid w:val="003B454A"/>
    <w:rsid w:val="003B46A5"/>
    <w:rsid w:val="003B77D4"/>
    <w:rsid w:val="003C6FDE"/>
    <w:rsid w:val="00416C65"/>
    <w:rsid w:val="00436221"/>
    <w:rsid w:val="004914B3"/>
    <w:rsid w:val="0049184E"/>
    <w:rsid w:val="004B2175"/>
    <w:rsid w:val="004C4C21"/>
    <w:rsid w:val="004D2914"/>
    <w:rsid w:val="005014A2"/>
    <w:rsid w:val="00504382"/>
    <w:rsid w:val="00516AE5"/>
    <w:rsid w:val="00530999"/>
    <w:rsid w:val="0056680C"/>
    <w:rsid w:val="00585B56"/>
    <w:rsid w:val="005862B9"/>
    <w:rsid w:val="00596C2C"/>
    <w:rsid w:val="005B4C26"/>
    <w:rsid w:val="005C0A94"/>
    <w:rsid w:val="00647E18"/>
    <w:rsid w:val="00664CB2"/>
    <w:rsid w:val="00686AC1"/>
    <w:rsid w:val="006C3452"/>
    <w:rsid w:val="006D78E2"/>
    <w:rsid w:val="006F03F3"/>
    <w:rsid w:val="006F4D09"/>
    <w:rsid w:val="00702702"/>
    <w:rsid w:val="007035A5"/>
    <w:rsid w:val="00725BE2"/>
    <w:rsid w:val="00726073"/>
    <w:rsid w:val="0073322E"/>
    <w:rsid w:val="00752FFF"/>
    <w:rsid w:val="0075428A"/>
    <w:rsid w:val="00763717"/>
    <w:rsid w:val="00770D0D"/>
    <w:rsid w:val="007A5024"/>
    <w:rsid w:val="007A77BB"/>
    <w:rsid w:val="007B0EB6"/>
    <w:rsid w:val="007B5F3A"/>
    <w:rsid w:val="007C75C1"/>
    <w:rsid w:val="007E14D7"/>
    <w:rsid w:val="007E47B5"/>
    <w:rsid w:val="007E4A1F"/>
    <w:rsid w:val="00804B9C"/>
    <w:rsid w:val="00820B99"/>
    <w:rsid w:val="00827B9D"/>
    <w:rsid w:val="0085002D"/>
    <w:rsid w:val="0085175B"/>
    <w:rsid w:val="008519C8"/>
    <w:rsid w:val="00894F8E"/>
    <w:rsid w:val="008A3C4A"/>
    <w:rsid w:val="008B0549"/>
    <w:rsid w:val="008B1670"/>
    <w:rsid w:val="008D16AF"/>
    <w:rsid w:val="008F4717"/>
    <w:rsid w:val="009205E4"/>
    <w:rsid w:val="00925AD9"/>
    <w:rsid w:val="00925DB1"/>
    <w:rsid w:val="00926D1D"/>
    <w:rsid w:val="00965127"/>
    <w:rsid w:val="00977535"/>
    <w:rsid w:val="0099196E"/>
    <w:rsid w:val="00993532"/>
    <w:rsid w:val="009A5755"/>
    <w:rsid w:val="009F529C"/>
    <w:rsid w:val="00A24713"/>
    <w:rsid w:val="00A2799E"/>
    <w:rsid w:val="00A3020A"/>
    <w:rsid w:val="00A42946"/>
    <w:rsid w:val="00A644DD"/>
    <w:rsid w:val="00A851CA"/>
    <w:rsid w:val="00AA2A12"/>
    <w:rsid w:val="00AA5F50"/>
    <w:rsid w:val="00AB4B7B"/>
    <w:rsid w:val="00AC4799"/>
    <w:rsid w:val="00B3185E"/>
    <w:rsid w:val="00B47F10"/>
    <w:rsid w:val="00B70169"/>
    <w:rsid w:val="00B81968"/>
    <w:rsid w:val="00B84E7E"/>
    <w:rsid w:val="00B879CA"/>
    <w:rsid w:val="00B9381F"/>
    <w:rsid w:val="00BF3F5C"/>
    <w:rsid w:val="00C01643"/>
    <w:rsid w:val="00C50E02"/>
    <w:rsid w:val="00C62688"/>
    <w:rsid w:val="00C629BB"/>
    <w:rsid w:val="00C66C69"/>
    <w:rsid w:val="00C76F68"/>
    <w:rsid w:val="00C9176F"/>
    <w:rsid w:val="00CA1054"/>
    <w:rsid w:val="00CA362B"/>
    <w:rsid w:val="00CB0D4B"/>
    <w:rsid w:val="00CD19EE"/>
    <w:rsid w:val="00CD5716"/>
    <w:rsid w:val="00D06F42"/>
    <w:rsid w:val="00D226F9"/>
    <w:rsid w:val="00D349EB"/>
    <w:rsid w:val="00D43DF8"/>
    <w:rsid w:val="00D451FD"/>
    <w:rsid w:val="00D7531B"/>
    <w:rsid w:val="00D91B1A"/>
    <w:rsid w:val="00D94D30"/>
    <w:rsid w:val="00DA0D55"/>
    <w:rsid w:val="00DC0025"/>
    <w:rsid w:val="00DD0362"/>
    <w:rsid w:val="00E24FCA"/>
    <w:rsid w:val="00E65597"/>
    <w:rsid w:val="00ED18F2"/>
    <w:rsid w:val="00ED1E9F"/>
    <w:rsid w:val="00EE05AA"/>
    <w:rsid w:val="00F019B2"/>
    <w:rsid w:val="00F02EAB"/>
    <w:rsid w:val="00F37371"/>
    <w:rsid w:val="00F94F5F"/>
    <w:rsid w:val="00FC170E"/>
    <w:rsid w:val="00FD28B2"/>
    <w:rsid w:val="00FE05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0D7C"/>
  <w15:docId w15:val="{07C08FB2-0928-44C9-984C-B99E711A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5B"/>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585B56"/>
    <w:rPr>
      <w:vertAlign w:val="superscript"/>
    </w:rPr>
  </w:style>
  <w:style w:type="paragraph" w:customStyle="1" w:styleId="Heading2">
    <w:name w:val="Heading2"/>
    <w:basedOn w:val="Normal"/>
    <w:rsid w:val="00585B56"/>
    <w:pPr>
      <w:jc w:val="center"/>
    </w:pPr>
  </w:style>
  <w:style w:type="paragraph" w:styleId="ListeParagraf">
    <w:name w:val="List Paragraph"/>
    <w:basedOn w:val="Normal"/>
    <w:uiPriority w:val="34"/>
    <w:qFormat/>
    <w:rsid w:val="00C50E02"/>
    <w:pPr>
      <w:ind w:left="720"/>
      <w:contextualSpacing/>
    </w:pPr>
  </w:style>
  <w:style w:type="paragraph" w:styleId="NormalWeb">
    <w:name w:val="Normal (Web)"/>
    <w:basedOn w:val="Normal"/>
    <w:uiPriority w:val="99"/>
    <w:unhideWhenUsed/>
    <w:rsid w:val="005862B9"/>
    <w:pPr>
      <w:spacing w:before="100" w:beforeAutospacing="1" w:after="100" w:afterAutospacing="1" w:line="240" w:lineRule="auto"/>
    </w:pPr>
    <w:rPr>
      <w:sz w:val="24"/>
      <w:szCs w:val="24"/>
    </w:rPr>
  </w:style>
  <w:style w:type="character" w:styleId="Gl">
    <w:name w:val="Strong"/>
    <w:basedOn w:val="VarsaylanParagrafYazTipi"/>
    <w:uiPriority w:val="22"/>
    <w:qFormat/>
    <w:rsid w:val="005862B9"/>
    <w:rPr>
      <w:b/>
      <w:bCs/>
    </w:rPr>
  </w:style>
  <w:style w:type="table" w:styleId="TabloKlavuzu">
    <w:name w:val="Table Grid"/>
    <w:basedOn w:val="NormalTablo"/>
    <w:uiPriority w:val="39"/>
    <w:rsid w:val="0058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D19EE"/>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D19EE"/>
  </w:style>
  <w:style w:type="paragraph" w:styleId="AltBilgi">
    <w:name w:val="footer"/>
    <w:basedOn w:val="Normal"/>
    <w:link w:val="AltBilgiChar"/>
    <w:uiPriority w:val="99"/>
    <w:unhideWhenUsed/>
    <w:rsid w:val="00CD19EE"/>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D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83B09-5610-4C8A-8F43-D97276053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2001</Words>
  <Characters>11410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1.sınıf 2. dönem zümre toplantısı</vt:lpstr>
    </vt:vector>
  </TitlesOfParts>
  <Manager/>
  <Company>ÖğretmenEvrak</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1.sınıf 2. dönem zümre toplantısı</dc:title>
  <dc:creator>İbrahim Bekteş</dc:creator>
  <cp:lastModifiedBy>PC</cp:lastModifiedBy>
  <cp:revision>71</cp:revision>
  <dcterms:created xsi:type="dcterms:W3CDTF">2025-02-09T21:37:00Z</dcterms:created>
  <dcterms:modified xsi:type="dcterms:W3CDTF">2026-03-26T06:02:00Z</dcterms:modified>
</cp:coreProperties>
</file>